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2C" w:rsidRPr="003535D5" w:rsidRDefault="00BD532C" w:rsidP="00BD532C">
      <w:pPr>
        <w:spacing w:after="160" w:line="259" w:lineRule="auto"/>
        <w:ind w:left="-142" w:firstLine="0"/>
        <w:rPr>
          <w:rFonts w:eastAsiaTheme="minorHAnsi"/>
          <w:b/>
          <w:color w:val="auto"/>
          <w:lang w:eastAsia="en-US"/>
        </w:rPr>
      </w:pPr>
      <w:r w:rsidRPr="003535D5">
        <w:rPr>
          <w:rFonts w:eastAsiaTheme="minorHAnsi"/>
          <w:b/>
          <w:color w:val="auto"/>
          <w:lang w:eastAsia="en-US"/>
        </w:rPr>
        <w:t>Skills &amp; Employment Report to City Deal Executive and Stewardship Board, November 2018</w:t>
      </w:r>
    </w:p>
    <w:p w:rsidR="00BD532C" w:rsidRPr="003535D5" w:rsidRDefault="00BD532C" w:rsidP="00BD532C">
      <w:pPr>
        <w:spacing w:after="160" w:line="259" w:lineRule="auto"/>
        <w:ind w:left="284" w:hanging="426"/>
        <w:rPr>
          <w:rFonts w:eastAsiaTheme="minorHAnsi"/>
          <w:b/>
          <w:color w:val="auto"/>
          <w:sz w:val="22"/>
          <w:szCs w:val="22"/>
          <w:lang w:eastAsia="en-US"/>
        </w:rPr>
      </w:pPr>
      <w:r w:rsidRPr="003535D5">
        <w:rPr>
          <w:rFonts w:eastAsiaTheme="minorHAnsi"/>
          <w:b/>
          <w:color w:val="auto"/>
          <w:sz w:val="22"/>
          <w:szCs w:val="22"/>
          <w:lang w:eastAsia="en-US"/>
        </w:rPr>
        <w:t>1. Skills</w:t>
      </w:r>
      <w:r w:rsidRPr="003535D5">
        <w:rPr>
          <w:rFonts w:eastAsiaTheme="minorHAnsi"/>
          <w:color w:val="auto"/>
          <w:sz w:val="22"/>
          <w:szCs w:val="22"/>
          <w:lang w:eastAsia="en-US"/>
        </w:rPr>
        <w:t xml:space="preserve"> </w:t>
      </w:r>
      <w:r w:rsidRPr="003535D5">
        <w:rPr>
          <w:rFonts w:eastAsiaTheme="minorHAnsi"/>
          <w:b/>
          <w:color w:val="auto"/>
          <w:sz w:val="22"/>
          <w:szCs w:val="22"/>
          <w:lang w:eastAsia="en-US"/>
        </w:rPr>
        <w:t>and Employment</w:t>
      </w:r>
    </w:p>
    <w:p w:rsidR="00BD532C" w:rsidRPr="003535D5" w:rsidRDefault="00BD532C" w:rsidP="00BD532C">
      <w:pPr>
        <w:spacing w:after="160" w:line="276" w:lineRule="auto"/>
        <w:ind w:left="284" w:hanging="426"/>
        <w:rPr>
          <w:rFonts w:eastAsiaTheme="minorHAnsi"/>
          <w:color w:val="auto"/>
          <w:sz w:val="22"/>
          <w:szCs w:val="22"/>
          <w:lang w:eastAsia="en-US"/>
        </w:rPr>
      </w:pPr>
      <w:r w:rsidRPr="003535D5">
        <w:rPr>
          <w:rFonts w:eastAsiaTheme="minorHAnsi"/>
          <w:b/>
          <w:color w:val="auto"/>
          <w:sz w:val="22"/>
          <w:szCs w:val="22"/>
          <w:lang w:eastAsia="en-US"/>
        </w:rPr>
        <w:t xml:space="preserve">1.1 </w:t>
      </w:r>
      <w:r w:rsidRPr="003535D5">
        <w:rPr>
          <w:rFonts w:eastAsiaTheme="minorHAnsi"/>
          <w:color w:val="auto"/>
          <w:sz w:val="22"/>
          <w:szCs w:val="22"/>
          <w:lang w:eastAsia="en-US"/>
        </w:rPr>
        <w:t xml:space="preserve">The key outputs in regard to skills and employment metrics are outlined in Table 1 below. For reference the period over which this data measures is the academic year 2017/18. In the main performance is in line with profiled delivery for outputs with some notable exceptions detailed below: </w:t>
      </w:r>
    </w:p>
    <w:p w:rsidR="00BD532C" w:rsidRPr="003535D5" w:rsidRDefault="00BD532C" w:rsidP="00BD532C">
      <w:pPr>
        <w:numPr>
          <w:ilvl w:val="0"/>
          <w:numId w:val="1"/>
        </w:numPr>
        <w:spacing w:after="160" w:line="276" w:lineRule="auto"/>
        <w:contextualSpacing/>
        <w:rPr>
          <w:rFonts w:eastAsiaTheme="minorHAnsi"/>
          <w:color w:val="auto"/>
          <w:sz w:val="22"/>
          <w:szCs w:val="22"/>
          <w:lang w:eastAsia="en-US"/>
        </w:rPr>
      </w:pPr>
      <w:r w:rsidRPr="003535D5">
        <w:rPr>
          <w:rFonts w:eastAsiaTheme="minorHAnsi"/>
          <w:b/>
          <w:color w:val="auto"/>
          <w:sz w:val="22"/>
          <w:szCs w:val="22"/>
          <w:lang w:eastAsia="en-US"/>
        </w:rPr>
        <w:t>Apprenticeships - KPI No's 1 &amp; 2</w:t>
      </w:r>
      <w:r w:rsidRPr="003535D5">
        <w:rPr>
          <w:rFonts w:eastAsiaTheme="minorHAnsi"/>
          <w:color w:val="auto"/>
          <w:sz w:val="22"/>
          <w:szCs w:val="22"/>
          <w:lang w:eastAsia="en-US"/>
        </w:rPr>
        <w:t xml:space="preserve">. Starts amongst the 16-24yr old group have </w:t>
      </w:r>
      <w:bookmarkStart w:id="0" w:name="_GoBack"/>
      <w:bookmarkEnd w:id="0"/>
      <w:r w:rsidRPr="003535D5">
        <w:rPr>
          <w:rFonts w:eastAsiaTheme="minorHAnsi"/>
          <w:color w:val="auto"/>
          <w:sz w:val="22"/>
          <w:szCs w:val="22"/>
          <w:lang w:eastAsia="en-US"/>
        </w:rPr>
        <w:t>increased again from those reported in 2016/17. In 2017/18 there were a total of 1,018 reported starts compared with a total of 875 starts in 2016/17. This is the fourth year in succession in which apprenticeship starts amongst this age group has registered an increased. These rises buck the national trend of declining numbers since the introduction of the apprenticeship levy and the introduction of the new apprenticeship standards.</w:t>
      </w:r>
    </w:p>
    <w:p w:rsidR="00BD532C" w:rsidRPr="003535D5" w:rsidRDefault="00BD532C" w:rsidP="00BD532C">
      <w:pPr>
        <w:spacing w:after="160" w:line="276" w:lineRule="auto"/>
        <w:ind w:left="360" w:firstLine="0"/>
        <w:contextualSpacing/>
        <w:rPr>
          <w:rFonts w:eastAsiaTheme="minorHAnsi"/>
          <w:color w:val="auto"/>
          <w:sz w:val="22"/>
          <w:szCs w:val="22"/>
          <w:lang w:eastAsia="en-US"/>
        </w:rPr>
      </w:pPr>
      <w:r w:rsidRPr="003535D5">
        <w:rPr>
          <w:rFonts w:eastAsiaTheme="minorHAnsi"/>
          <w:color w:val="auto"/>
          <w:sz w:val="22"/>
          <w:szCs w:val="22"/>
          <w:lang w:eastAsia="en-US"/>
        </w:rPr>
        <w:t xml:space="preserve">Apprenticeship starts in the construction sector in 2017/18 experienced an even greater year on year increase of 80% over the same period amongst the 16-24 cohort. </w:t>
      </w:r>
    </w:p>
    <w:p w:rsidR="00BD532C" w:rsidRPr="003535D5" w:rsidRDefault="00BD532C" w:rsidP="00BD532C">
      <w:pPr>
        <w:numPr>
          <w:ilvl w:val="0"/>
          <w:numId w:val="1"/>
        </w:numPr>
        <w:spacing w:after="160" w:line="276" w:lineRule="auto"/>
        <w:contextualSpacing/>
        <w:rPr>
          <w:rFonts w:eastAsiaTheme="minorHAnsi"/>
          <w:color w:val="auto"/>
          <w:sz w:val="22"/>
          <w:szCs w:val="22"/>
          <w:lang w:eastAsia="en-US"/>
        </w:rPr>
      </w:pPr>
      <w:r w:rsidRPr="003535D5">
        <w:rPr>
          <w:rFonts w:eastAsiaTheme="minorHAnsi"/>
          <w:b/>
          <w:color w:val="auto"/>
          <w:sz w:val="22"/>
          <w:szCs w:val="22"/>
          <w:lang w:eastAsia="en-US"/>
        </w:rPr>
        <w:t>Graduate Destinations – KPI No's 3 &amp; 4.</w:t>
      </w:r>
      <w:r w:rsidRPr="003535D5">
        <w:rPr>
          <w:rFonts w:eastAsiaTheme="minorHAnsi"/>
          <w:color w:val="auto"/>
          <w:sz w:val="22"/>
          <w:szCs w:val="22"/>
          <w:lang w:eastAsia="en-US"/>
        </w:rPr>
        <w:t xml:space="preserve"> There was a rise reported in the number of graduates across the City Deal area securing positions in the construction and engineering sectors from 78 reported in the 2015/16 academic year to 85 in 2016/17, the last year that data is available. </w:t>
      </w:r>
    </w:p>
    <w:p w:rsidR="00BD532C" w:rsidRPr="003535D5" w:rsidRDefault="00BD532C" w:rsidP="00BD532C">
      <w:pPr>
        <w:spacing w:after="160" w:line="276" w:lineRule="auto"/>
        <w:ind w:left="360" w:firstLine="0"/>
        <w:contextualSpacing/>
        <w:rPr>
          <w:rFonts w:eastAsiaTheme="minorHAnsi"/>
          <w:color w:val="auto"/>
          <w:sz w:val="22"/>
          <w:szCs w:val="22"/>
          <w:lang w:eastAsia="en-US"/>
        </w:rPr>
      </w:pPr>
      <w:r w:rsidRPr="003535D5">
        <w:rPr>
          <w:rFonts w:eastAsiaTheme="minorHAnsi"/>
          <w:color w:val="auto"/>
          <w:sz w:val="22"/>
          <w:szCs w:val="22"/>
          <w:lang w:eastAsia="en-US"/>
        </w:rPr>
        <w:t>The number of graduates securing graduate level positions across all sectors registered a slight fall over the corresponding period.</w:t>
      </w:r>
    </w:p>
    <w:p w:rsidR="00BD532C" w:rsidRPr="003535D5" w:rsidRDefault="00BD532C" w:rsidP="00BD532C">
      <w:pPr>
        <w:spacing w:after="160" w:line="276" w:lineRule="auto"/>
        <w:ind w:left="360" w:firstLine="0"/>
        <w:contextualSpacing/>
        <w:rPr>
          <w:rFonts w:eastAsiaTheme="minorHAnsi"/>
          <w:color w:val="auto"/>
          <w:sz w:val="22"/>
          <w:szCs w:val="22"/>
          <w:lang w:eastAsia="en-US"/>
        </w:rPr>
      </w:pPr>
      <w:r w:rsidRPr="003535D5">
        <w:rPr>
          <w:rFonts w:eastAsiaTheme="minorHAnsi"/>
          <w:color w:val="auto"/>
          <w:sz w:val="22"/>
          <w:szCs w:val="22"/>
          <w:lang w:eastAsia="en-US"/>
        </w:rPr>
        <w:t>Future reporting on student destination metrics will be impacted due a change of HESA reporting cycles moving from 6 month after graduation to 13 months.</w:t>
      </w:r>
    </w:p>
    <w:p w:rsidR="00BD532C" w:rsidRPr="003535D5" w:rsidRDefault="00BD532C" w:rsidP="00BD532C">
      <w:pPr>
        <w:numPr>
          <w:ilvl w:val="0"/>
          <w:numId w:val="1"/>
        </w:numPr>
        <w:spacing w:after="160" w:line="276" w:lineRule="auto"/>
        <w:contextualSpacing/>
        <w:rPr>
          <w:rFonts w:eastAsiaTheme="minorHAnsi"/>
          <w:color w:val="auto"/>
          <w:sz w:val="22"/>
          <w:szCs w:val="22"/>
          <w:lang w:eastAsia="en-US"/>
        </w:rPr>
      </w:pPr>
      <w:r w:rsidRPr="003535D5">
        <w:rPr>
          <w:rFonts w:eastAsiaTheme="minorHAnsi"/>
          <w:b/>
          <w:color w:val="auto"/>
          <w:sz w:val="22"/>
          <w:szCs w:val="22"/>
          <w:lang w:eastAsia="en-US"/>
        </w:rPr>
        <w:t>Undergraduate STEM Starts – KPI No 6.</w:t>
      </w:r>
      <w:r w:rsidRPr="003535D5">
        <w:rPr>
          <w:rFonts w:eastAsiaTheme="minorHAnsi"/>
          <w:color w:val="auto"/>
          <w:sz w:val="22"/>
          <w:szCs w:val="22"/>
          <w:lang w:eastAsia="en-US"/>
        </w:rPr>
        <w:t xml:space="preserve"> There was a marked rise in the number of new students enrolling on STEM and construction undergraduate programmes from 2,146 in 2015/16 to 3,120 in 2016/17, representing a 45% year on year increase. This is significantly above target for STEM undergraduate starts for the year.</w:t>
      </w:r>
    </w:p>
    <w:p w:rsidR="00BD532C" w:rsidRPr="003535D5" w:rsidRDefault="00BD532C" w:rsidP="00BD532C">
      <w:pPr>
        <w:numPr>
          <w:ilvl w:val="0"/>
          <w:numId w:val="1"/>
        </w:numPr>
        <w:spacing w:after="160" w:line="276" w:lineRule="auto"/>
        <w:contextualSpacing/>
        <w:rPr>
          <w:rFonts w:eastAsiaTheme="minorHAnsi"/>
          <w:color w:val="auto"/>
          <w:sz w:val="22"/>
          <w:szCs w:val="22"/>
          <w:lang w:eastAsia="en-US"/>
        </w:rPr>
      </w:pPr>
      <w:r w:rsidRPr="003535D5">
        <w:rPr>
          <w:rFonts w:eastAsiaTheme="minorHAnsi"/>
          <w:b/>
          <w:color w:val="auto"/>
          <w:sz w:val="22"/>
          <w:szCs w:val="22"/>
          <w:lang w:eastAsia="en-US"/>
        </w:rPr>
        <w:t>DWP Claimant Count – KPI No 7.</w:t>
      </w:r>
      <w:r w:rsidRPr="003535D5">
        <w:rPr>
          <w:rFonts w:eastAsiaTheme="minorHAnsi"/>
          <w:color w:val="auto"/>
          <w:sz w:val="22"/>
          <w:szCs w:val="22"/>
          <w:lang w:eastAsia="en-US"/>
        </w:rPr>
        <w:t xml:space="preserve"> Jobseeker's Allowance (JSA) and Universal Credit (UC) claimants have again experienced year on year increase against a general back drop of static unemployment. The implementation of UC requires a broader span of claimants to look for work than under JSA. The further roll out of UC has no doubt impacted on the Claimant Counts over the period being reported.</w:t>
      </w:r>
    </w:p>
    <w:p w:rsidR="00BD532C" w:rsidRPr="003535D5" w:rsidRDefault="00BD532C" w:rsidP="00BD532C">
      <w:pPr>
        <w:numPr>
          <w:ilvl w:val="0"/>
          <w:numId w:val="1"/>
        </w:numPr>
        <w:spacing w:after="160" w:line="276" w:lineRule="auto"/>
        <w:contextualSpacing/>
        <w:rPr>
          <w:rFonts w:eastAsiaTheme="minorHAnsi"/>
          <w:color w:val="auto"/>
          <w:sz w:val="22"/>
          <w:szCs w:val="22"/>
          <w:lang w:eastAsia="en-US"/>
        </w:rPr>
      </w:pPr>
      <w:r w:rsidRPr="003535D5">
        <w:rPr>
          <w:rFonts w:eastAsiaTheme="minorHAnsi"/>
          <w:b/>
          <w:color w:val="auto"/>
          <w:sz w:val="22"/>
          <w:szCs w:val="22"/>
          <w:lang w:eastAsia="en-US"/>
        </w:rPr>
        <w:t>Careers Engagement – KPI No 8.</w:t>
      </w:r>
      <w:r w:rsidRPr="003535D5">
        <w:rPr>
          <w:rFonts w:eastAsiaTheme="minorHAnsi"/>
          <w:color w:val="auto"/>
          <w:sz w:val="22"/>
          <w:szCs w:val="22"/>
          <w:lang w:eastAsia="en-US"/>
        </w:rPr>
        <w:t xml:space="preserve"> The number of interventions/ activities promoting City Deal and construction career opportunities with the City Deal area has continued on a positive trajectory. Partners have been active in delivering a wide range of activities directly with schools, a selection of which are highlighted in the case studies provided along with this report. </w:t>
      </w:r>
    </w:p>
    <w:p w:rsidR="00BD532C" w:rsidRPr="003535D5" w:rsidRDefault="00BD532C" w:rsidP="00BD532C">
      <w:pPr>
        <w:spacing w:after="160" w:line="276" w:lineRule="auto"/>
        <w:ind w:left="360" w:firstLine="0"/>
        <w:contextualSpacing/>
        <w:rPr>
          <w:rFonts w:eastAsiaTheme="minorHAnsi"/>
          <w:color w:val="auto"/>
          <w:sz w:val="22"/>
          <w:szCs w:val="22"/>
          <w:lang w:eastAsia="en-US"/>
        </w:rPr>
      </w:pPr>
      <w:r w:rsidRPr="003535D5">
        <w:rPr>
          <w:rFonts w:eastAsiaTheme="minorHAnsi"/>
          <w:color w:val="auto"/>
          <w:sz w:val="22"/>
          <w:szCs w:val="22"/>
          <w:lang w:eastAsia="en-US"/>
        </w:rPr>
        <w:t xml:space="preserve">Of these there have been a number of successes including the 'Bridge the Gap' STEM Challenge commissioned by the Lancashire Enterprise Partnership and the Truck Trail – 'Routes to Success' programme in the South </w:t>
      </w:r>
      <w:proofErr w:type="spellStart"/>
      <w:r w:rsidRPr="003535D5">
        <w:rPr>
          <w:rFonts w:eastAsiaTheme="minorHAnsi"/>
          <w:color w:val="auto"/>
          <w:sz w:val="22"/>
          <w:szCs w:val="22"/>
          <w:lang w:eastAsia="en-US"/>
        </w:rPr>
        <w:t>Ribble</w:t>
      </w:r>
      <w:proofErr w:type="spellEnd"/>
      <w:r w:rsidRPr="003535D5">
        <w:rPr>
          <w:rFonts w:eastAsiaTheme="minorHAnsi"/>
          <w:color w:val="auto"/>
          <w:sz w:val="22"/>
          <w:szCs w:val="22"/>
          <w:lang w:eastAsia="en-US"/>
        </w:rPr>
        <w:t xml:space="preserve"> area. </w:t>
      </w:r>
    </w:p>
    <w:p w:rsidR="00BD532C" w:rsidRPr="003535D5" w:rsidRDefault="00BD532C" w:rsidP="00BD532C">
      <w:pPr>
        <w:spacing w:after="160" w:line="276" w:lineRule="auto"/>
        <w:ind w:left="0" w:firstLine="0"/>
        <w:rPr>
          <w:rFonts w:eastAsiaTheme="minorHAnsi"/>
          <w:color w:val="auto"/>
          <w:sz w:val="22"/>
          <w:szCs w:val="22"/>
          <w:lang w:eastAsia="en-US"/>
        </w:rPr>
      </w:pPr>
      <w:r w:rsidRPr="003535D5">
        <w:rPr>
          <w:rFonts w:eastAsiaTheme="minorHAnsi"/>
          <w:color w:val="auto"/>
          <w:sz w:val="22"/>
          <w:szCs w:val="22"/>
          <w:lang w:eastAsia="en-US"/>
        </w:rPr>
        <w:t>Table 1 below provides a breakdown of the skills and employment targets and outputs.</w:t>
      </w:r>
    </w:p>
    <w:p w:rsidR="00BD532C" w:rsidRPr="003535D5" w:rsidRDefault="00BD532C" w:rsidP="00BD532C">
      <w:pPr>
        <w:numPr>
          <w:ilvl w:val="0"/>
          <w:numId w:val="3"/>
        </w:numPr>
        <w:spacing w:after="160" w:line="276" w:lineRule="auto"/>
        <w:contextualSpacing/>
        <w:rPr>
          <w:rFonts w:eastAsiaTheme="minorHAnsi"/>
          <w:color w:val="auto"/>
          <w:sz w:val="22"/>
          <w:szCs w:val="22"/>
          <w:lang w:eastAsia="en-US"/>
        </w:rPr>
      </w:pPr>
      <w:r w:rsidRPr="003535D5">
        <w:rPr>
          <w:rFonts w:eastAsiaTheme="minorHAnsi"/>
          <w:color w:val="auto"/>
          <w:sz w:val="22"/>
          <w:szCs w:val="22"/>
          <w:lang w:eastAsia="en-US"/>
        </w:rPr>
        <w:t xml:space="preserve">The City Deal Employment &amp; Skills Steering Group continues to play a key role in coordinating activity aimed providing the training and skills to enable local residents to benefit from the opportunities generated through the City Deal investment. </w:t>
      </w:r>
    </w:p>
    <w:p w:rsidR="00BD532C" w:rsidRPr="003535D5" w:rsidRDefault="00BD532C" w:rsidP="00BD532C">
      <w:pPr>
        <w:spacing w:after="160" w:line="276" w:lineRule="auto"/>
        <w:ind w:left="360" w:firstLine="0"/>
        <w:contextualSpacing/>
        <w:rPr>
          <w:rFonts w:eastAsiaTheme="minorHAnsi"/>
          <w:color w:val="auto"/>
          <w:sz w:val="22"/>
          <w:szCs w:val="22"/>
          <w:lang w:eastAsia="en-US"/>
        </w:rPr>
      </w:pPr>
    </w:p>
    <w:p w:rsidR="00BD532C" w:rsidRPr="003535D5" w:rsidRDefault="00BD532C" w:rsidP="00BD532C">
      <w:pPr>
        <w:numPr>
          <w:ilvl w:val="1"/>
          <w:numId w:val="2"/>
        </w:numPr>
        <w:spacing w:after="160" w:line="259" w:lineRule="auto"/>
        <w:contextualSpacing/>
        <w:rPr>
          <w:rFonts w:eastAsiaTheme="minorHAnsi"/>
          <w:color w:val="auto"/>
          <w:sz w:val="22"/>
          <w:szCs w:val="22"/>
          <w:lang w:eastAsia="en-US"/>
        </w:rPr>
      </w:pPr>
      <w:r w:rsidRPr="003535D5">
        <w:rPr>
          <w:rFonts w:eastAsiaTheme="minorHAnsi"/>
          <w:color w:val="auto"/>
          <w:sz w:val="22"/>
          <w:szCs w:val="22"/>
          <w:lang w:eastAsia="en-US"/>
        </w:rPr>
        <w:t xml:space="preserve">Unfortunately we have been notified that a joint Lancashire bid submitted in September 2018 for the </w:t>
      </w:r>
      <w:proofErr w:type="spellStart"/>
      <w:r w:rsidRPr="003535D5">
        <w:rPr>
          <w:rFonts w:eastAsiaTheme="minorHAnsi"/>
          <w:color w:val="auto"/>
          <w:sz w:val="22"/>
          <w:szCs w:val="22"/>
          <w:lang w:eastAsia="en-US"/>
        </w:rPr>
        <w:t>DfE</w:t>
      </w:r>
      <w:proofErr w:type="spellEnd"/>
      <w:r w:rsidRPr="003535D5">
        <w:rPr>
          <w:rFonts w:eastAsiaTheme="minorHAnsi"/>
          <w:color w:val="auto"/>
          <w:sz w:val="22"/>
          <w:szCs w:val="22"/>
          <w:lang w:eastAsia="en-US"/>
        </w:rPr>
        <w:t>/CITB Construction Skills Fund has been unsuccessful. This was a joint bid made up of 15 providers from across Lancashire the with Preston's College acting as the lead provider in pulling together responses and collating the bid narrative/content. More detailed feedback on the bid will be provided in due course.</w:t>
      </w:r>
    </w:p>
    <w:p w:rsidR="00BD532C" w:rsidRPr="003535D5" w:rsidRDefault="00BD532C" w:rsidP="00BD532C">
      <w:pPr>
        <w:spacing w:after="160" w:line="259" w:lineRule="auto"/>
        <w:ind w:left="360" w:firstLine="0"/>
        <w:contextualSpacing/>
        <w:rPr>
          <w:rFonts w:eastAsiaTheme="minorHAnsi"/>
          <w:color w:val="auto"/>
          <w:sz w:val="22"/>
          <w:szCs w:val="22"/>
          <w:lang w:eastAsia="en-US"/>
        </w:rPr>
      </w:pPr>
    </w:p>
    <w:p w:rsidR="00BD532C" w:rsidRPr="003535D5" w:rsidRDefault="00BD532C" w:rsidP="00BD532C">
      <w:pPr>
        <w:numPr>
          <w:ilvl w:val="1"/>
          <w:numId w:val="2"/>
        </w:numPr>
        <w:spacing w:after="160" w:line="259" w:lineRule="auto"/>
        <w:contextualSpacing/>
        <w:rPr>
          <w:rFonts w:eastAsiaTheme="minorHAnsi"/>
          <w:color w:val="auto"/>
          <w:sz w:val="22"/>
          <w:szCs w:val="22"/>
          <w:lang w:eastAsia="en-US"/>
        </w:rPr>
      </w:pPr>
      <w:r w:rsidRPr="003535D5">
        <w:rPr>
          <w:rFonts w:eastAsiaTheme="minorHAnsi"/>
          <w:color w:val="auto"/>
          <w:sz w:val="22"/>
          <w:szCs w:val="22"/>
          <w:lang w:eastAsia="en-US"/>
        </w:rPr>
        <w:t xml:space="preserve">The 'Bridge the Gap' programme has continued to go from strength to strength. Developed in partnership with </w:t>
      </w:r>
      <w:proofErr w:type="spellStart"/>
      <w:r w:rsidRPr="003535D5">
        <w:rPr>
          <w:rFonts w:eastAsiaTheme="minorHAnsi"/>
          <w:color w:val="auto"/>
          <w:sz w:val="22"/>
          <w:szCs w:val="22"/>
          <w:lang w:eastAsia="en-US"/>
        </w:rPr>
        <w:t>STEMFirst</w:t>
      </w:r>
      <w:proofErr w:type="spellEnd"/>
      <w:r w:rsidRPr="003535D5">
        <w:rPr>
          <w:rFonts w:eastAsiaTheme="minorHAnsi"/>
          <w:color w:val="auto"/>
          <w:sz w:val="22"/>
          <w:szCs w:val="22"/>
          <w:lang w:eastAsia="en-US"/>
        </w:rPr>
        <w:t xml:space="preserve"> the activity aimed at Year 8 and 9 pupils has been designed to shine a light on the wide range of STEM and construction careers being created across the City Deal area. A total of 43 staff have been trained with 963 pupils spread across 15 schools benefiting from the programme. </w:t>
      </w:r>
    </w:p>
    <w:p w:rsidR="00BD532C" w:rsidRPr="003535D5" w:rsidRDefault="00BD532C" w:rsidP="00BD532C">
      <w:pPr>
        <w:spacing w:after="160" w:line="259" w:lineRule="auto"/>
        <w:ind w:left="360" w:firstLine="0"/>
        <w:contextualSpacing/>
        <w:rPr>
          <w:rFonts w:eastAsiaTheme="minorHAnsi"/>
          <w:color w:val="auto"/>
          <w:sz w:val="22"/>
          <w:szCs w:val="22"/>
          <w:lang w:eastAsia="en-US"/>
        </w:rPr>
      </w:pPr>
      <w:r w:rsidRPr="003535D5">
        <w:rPr>
          <w:rFonts w:eastAsiaTheme="minorHAnsi"/>
          <w:color w:val="auto"/>
          <w:sz w:val="22"/>
          <w:szCs w:val="22"/>
          <w:lang w:eastAsia="en-US"/>
        </w:rPr>
        <w:t xml:space="preserve"> </w:t>
      </w:r>
    </w:p>
    <w:p w:rsidR="00BD532C" w:rsidRPr="003535D5" w:rsidRDefault="00BD532C" w:rsidP="00BD532C">
      <w:pPr>
        <w:numPr>
          <w:ilvl w:val="1"/>
          <w:numId w:val="2"/>
        </w:numPr>
        <w:spacing w:after="160" w:line="259" w:lineRule="auto"/>
        <w:contextualSpacing/>
        <w:rPr>
          <w:rFonts w:eastAsiaTheme="minorHAnsi"/>
          <w:color w:val="auto"/>
          <w:sz w:val="22"/>
          <w:szCs w:val="22"/>
          <w:lang w:eastAsia="en-US"/>
        </w:rPr>
      </w:pPr>
      <w:r w:rsidRPr="003535D5">
        <w:rPr>
          <w:rFonts w:eastAsiaTheme="minorHAnsi"/>
          <w:color w:val="auto"/>
          <w:sz w:val="22"/>
          <w:szCs w:val="22"/>
          <w:lang w:eastAsia="en-US"/>
        </w:rPr>
        <w:t xml:space="preserve">A range of hands-on STEM Challenges have been produced as part of the Truck Trail programme all with educational sessions being rolled out across Leyland and South </w:t>
      </w:r>
      <w:proofErr w:type="spellStart"/>
      <w:r w:rsidRPr="003535D5">
        <w:rPr>
          <w:rFonts w:eastAsiaTheme="minorHAnsi"/>
          <w:color w:val="auto"/>
          <w:sz w:val="22"/>
          <w:szCs w:val="22"/>
          <w:lang w:eastAsia="en-US"/>
        </w:rPr>
        <w:t>Ribble</w:t>
      </w:r>
      <w:proofErr w:type="spellEnd"/>
      <w:r w:rsidRPr="003535D5">
        <w:rPr>
          <w:rFonts w:eastAsiaTheme="minorHAnsi"/>
          <w:color w:val="auto"/>
          <w:sz w:val="22"/>
          <w:szCs w:val="22"/>
          <w:lang w:eastAsia="en-US"/>
        </w:rPr>
        <w:t xml:space="preserve"> primary and secondary schools. The Routes to Success programme, comprising an interactive board game and accompanying materials, was conceived to highlight the variety of career opportunities that fall under the STEM banner. From an initial pilot of 9 schools the programme has now engaged with a total of 1,148 pupils from right across the South </w:t>
      </w:r>
      <w:proofErr w:type="spellStart"/>
      <w:r w:rsidRPr="003535D5">
        <w:rPr>
          <w:rFonts w:eastAsiaTheme="minorHAnsi"/>
          <w:color w:val="auto"/>
          <w:sz w:val="22"/>
          <w:szCs w:val="22"/>
          <w:lang w:eastAsia="en-US"/>
        </w:rPr>
        <w:t>Ribble</w:t>
      </w:r>
      <w:proofErr w:type="spellEnd"/>
      <w:r w:rsidRPr="003535D5">
        <w:rPr>
          <w:rFonts w:eastAsiaTheme="minorHAnsi"/>
          <w:color w:val="auto"/>
          <w:sz w:val="22"/>
          <w:szCs w:val="22"/>
          <w:lang w:eastAsia="en-US"/>
        </w:rPr>
        <w:t xml:space="preserve"> area.</w:t>
      </w:r>
    </w:p>
    <w:p w:rsidR="00BD532C" w:rsidRPr="003535D5" w:rsidRDefault="00BD532C" w:rsidP="00BD532C">
      <w:pPr>
        <w:spacing w:after="160" w:line="259" w:lineRule="auto"/>
        <w:ind w:left="720" w:firstLine="0"/>
        <w:contextualSpacing/>
        <w:rPr>
          <w:rFonts w:eastAsiaTheme="minorHAnsi"/>
          <w:color w:val="auto"/>
          <w:sz w:val="22"/>
          <w:szCs w:val="22"/>
          <w:lang w:eastAsia="en-US"/>
        </w:rPr>
      </w:pPr>
    </w:p>
    <w:p w:rsidR="00BD532C" w:rsidRPr="003535D5" w:rsidRDefault="00BD532C" w:rsidP="00BD532C">
      <w:pPr>
        <w:numPr>
          <w:ilvl w:val="1"/>
          <w:numId w:val="2"/>
        </w:numPr>
        <w:spacing w:after="160" w:line="259" w:lineRule="auto"/>
        <w:contextualSpacing/>
        <w:rPr>
          <w:rFonts w:eastAsiaTheme="minorHAnsi"/>
          <w:color w:val="auto"/>
          <w:sz w:val="22"/>
          <w:szCs w:val="22"/>
          <w:lang w:eastAsia="en-US"/>
        </w:rPr>
      </w:pPr>
      <w:r w:rsidRPr="003535D5">
        <w:rPr>
          <w:rFonts w:eastAsiaTheme="minorHAnsi"/>
          <w:color w:val="auto"/>
          <w:sz w:val="22"/>
          <w:szCs w:val="22"/>
          <w:lang w:eastAsia="en-US"/>
        </w:rPr>
        <w:t xml:space="preserve">The City Deal Skills and Employment Steering Group are currently developing a marketing prospectus to build on the Invest Central Lancashire brochure in marketing the Skills and Employment offer. The business facing prospectus will highlight the Skills and Employment offer across the City Deal area and will focus on key target sector provision. </w:t>
      </w:r>
    </w:p>
    <w:p w:rsidR="00BD532C" w:rsidRPr="003535D5" w:rsidRDefault="00BD532C" w:rsidP="00BD532C">
      <w:pPr>
        <w:spacing w:after="160" w:line="276" w:lineRule="auto"/>
        <w:ind w:left="360" w:firstLine="0"/>
        <w:contextualSpacing/>
        <w:rPr>
          <w:rFonts w:eastAsiaTheme="minorHAnsi"/>
          <w:color w:val="auto"/>
          <w:sz w:val="22"/>
          <w:szCs w:val="22"/>
          <w:lang w:eastAsia="en-US"/>
        </w:rPr>
      </w:pPr>
    </w:p>
    <w:p w:rsidR="00BD532C" w:rsidRDefault="00BD532C" w:rsidP="00BD532C">
      <w:pPr>
        <w:numPr>
          <w:ilvl w:val="1"/>
          <w:numId w:val="2"/>
        </w:numPr>
        <w:spacing w:after="160" w:line="276" w:lineRule="auto"/>
        <w:contextualSpacing/>
        <w:rPr>
          <w:rFonts w:eastAsiaTheme="minorHAnsi"/>
          <w:color w:val="auto"/>
          <w:sz w:val="22"/>
          <w:szCs w:val="22"/>
          <w:lang w:eastAsia="en-US"/>
        </w:rPr>
      </w:pPr>
      <w:r w:rsidRPr="003535D5">
        <w:rPr>
          <w:rFonts w:eastAsiaTheme="minorEastAsia"/>
          <w:color w:val="auto"/>
          <w:sz w:val="22"/>
          <w:szCs w:val="22"/>
        </w:rPr>
        <w:t>Martin Hill has now been appointed to the position of City Deal Skills and Employment Coordinator and took up post with the Lancashire Skills &amp; Employment Hub on the 20</w:t>
      </w:r>
      <w:r w:rsidRPr="003535D5">
        <w:rPr>
          <w:rFonts w:eastAsiaTheme="minorEastAsia"/>
          <w:color w:val="auto"/>
          <w:sz w:val="22"/>
          <w:szCs w:val="22"/>
          <w:vertAlign w:val="superscript"/>
        </w:rPr>
        <w:t>th</w:t>
      </w:r>
      <w:r w:rsidRPr="003535D5">
        <w:rPr>
          <w:rFonts w:eastAsiaTheme="minorEastAsia"/>
          <w:color w:val="auto"/>
          <w:sz w:val="22"/>
          <w:szCs w:val="22"/>
        </w:rPr>
        <w:t xml:space="preserve"> August. This role will</w:t>
      </w:r>
      <w:r w:rsidRPr="003535D5">
        <w:rPr>
          <w:rFonts w:eastAsiaTheme="minorHAnsi"/>
          <w:color w:val="auto"/>
          <w:sz w:val="22"/>
          <w:szCs w:val="22"/>
          <w:lang w:eastAsia="en-US"/>
        </w:rPr>
        <w:t xml:space="preserve"> support the embedding of employment and skills across the City Deal area through liaison with developers and occupiers, relevant groups and leads within the City Deal Skills and Employment Governance structure, the Local Planning Authority and other relevant partners. </w:t>
      </w:r>
    </w:p>
    <w:p w:rsidR="00BD532C" w:rsidRPr="003535D5" w:rsidRDefault="00BD532C" w:rsidP="00BD532C">
      <w:pPr>
        <w:spacing w:after="160" w:line="276" w:lineRule="auto"/>
        <w:ind w:left="0" w:firstLine="0"/>
        <w:contextualSpacing/>
        <w:rPr>
          <w:rFonts w:eastAsiaTheme="minorHAnsi"/>
          <w:color w:val="auto"/>
          <w:sz w:val="22"/>
          <w:szCs w:val="22"/>
          <w:lang w:eastAsia="en-US"/>
        </w:rPr>
      </w:pPr>
    </w:p>
    <w:p w:rsidR="00BD532C" w:rsidRPr="003535D5" w:rsidRDefault="00BD532C" w:rsidP="00BD532C">
      <w:pPr>
        <w:spacing w:after="160" w:line="259" w:lineRule="auto"/>
        <w:ind w:left="284" w:hanging="426"/>
        <w:rPr>
          <w:rFonts w:eastAsiaTheme="minorHAnsi"/>
          <w:b/>
          <w:color w:val="auto"/>
          <w:sz w:val="22"/>
          <w:szCs w:val="22"/>
          <w:lang w:eastAsia="en-US"/>
        </w:rPr>
      </w:pPr>
      <w:r w:rsidRPr="003535D5">
        <w:rPr>
          <w:rFonts w:eastAsiaTheme="minorHAnsi"/>
          <w:b/>
          <w:color w:val="auto"/>
          <w:sz w:val="22"/>
          <w:szCs w:val="22"/>
          <w:lang w:eastAsia="en-US"/>
        </w:rPr>
        <w:t>Table 1:  Skills and Employment metrics</w:t>
      </w:r>
    </w:p>
    <w:tbl>
      <w:tblPr>
        <w:tblW w:w="5110" w:type="pct"/>
        <w:tblLayout w:type="fixed"/>
        <w:tblLook w:val="04A0" w:firstRow="1" w:lastRow="0" w:firstColumn="1" w:lastColumn="0" w:noHBand="0" w:noVBand="1"/>
      </w:tblPr>
      <w:tblGrid>
        <w:gridCol w:w="2401"/>
        <w:gridCol w:w="993"/>
        <w:gridCol w:w="850"/>
        <w:gridCol w:w="850"/>
        <w:gridCol w:w="850"/>
        <w:gridCol w:w="806"/>
        <w:gridCol w:w="755"/>
        <w:gridCol w:w="850"/>
        <w:gridCol w:w="849"/>
      </w:tblGrid>
      <w:tr w:rsidR="00BD532C" w:rsidTr="00F817F1">
        <w:trPr>
          <w:trHeight w:val="300"/>
        </w:trPr>
        <w:tc>
          <w:tcPr>
            <w:tcW w:w="1304" w:type="pct"/>
            <w:tcBorders>
              <w:top w:val="single" w:sz="8" w:space="0" w:color="auto"/>
              <w:left w:val="single" w:sz="8" w:space="0" w:color="auto"/>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Output</w:t>
            </w:r>
          </w:p>
        </w:tc>
        <w:tc>
          <w:tcPr>
            <w:tcW w:w="539" w:type="pct"/>
            <w:tcBorders>
              <w:top w:val="single" w:sz="8" w:space="0" w:color="auto"/>
              <w:left w:val="nil"/>
              <w:bottom w:val="nil"/>
              <w:right w:val="nil"/>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Baseline:</w:t>
            </w:r>
          </w:p>
        </w:tc>
        <w:tc>
          <w:tcPr>
            <w:tcW w:w="462" w:type="pct"/>
            <w:tcBorders>
              <w:top w:val="single" w:sz="8" w:space="0" w:color="auto"/>
              <w:left w:val="single" w:sz="8" w:space="0" w:color="auto"/>
              <w:bottom w:val="nil"/>
              <w:right w:val="nil"/>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Year 1*</w:t>
            </w:r>
          </w:p>
        </w:tc>
        <w:tc>
          <w:tcPr>
            <w:tcW w:w="462" w:type="pct"/>
            <w:tcBorders>
              <w:top w:val="single" w:sz="8" w:space="0" w:color="auto"/>
              <w:left w:val="single" w:sz="8" w:space="0" w:color="auto"/>
              <w:bottom w:val="nil"/>
              <w:right w:val="nil"/>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Year 2 *</w:t>
            </w:r>
          </w:p>
        </w:tc>
        <w:tc>
          <w:tcPr>
            <w:tcW w:w="462" w:type="pct"/>
            <w:tcBorders>
              <w:top w:val="single" w:sz="8" w:space="0" w:color="auto"/>
              <w:left w:val="single" w:sz="8" w:space="0" w:color="auto"/>
              <w:bottom w:val="nil"/>
              <w:right w:val="nil"/>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Year 3 *</w:t>
            </w:r>
          </w:p>
        </w:tc>
        <w:tc>
          <w:tcPr>
            <w:tcW w:w="848" w:type="pct"/>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rsidR="00BD532C" w:rsidRPr="003535D5" w:rsidRDefault="00BD532C" w:rsidP="00F817F1">
            <w:pPr>
              <w:spacing w:after="0" w:line="240" w:lineRule="auto"/>
              <w:ind w:left="0" w:firstLine="0"/>
              <w:jc w:val="center"/>
              <w:rPr>
                <w:rFonts w:eastAsia="Times New Roman"/>
                <w:b/>
                <w:bCs/>
                <w:sz w:val="16"/>
                <w:szCs w:val="16"/>
              </w:rPr>
            </w:pPr>
            <w:r w:rsidRPr="003535D5">
              <w:rPr>
                <w:rFonts w:eastAsia="Times New Roman"/>
                <w:b/>
                <w:bCs/>
                <w:sz w:val="16"/>
                <w:szCs w:val="16"/>
              </w:rPr>
              <w:t>Year 4 *</w:t>
            </w:r>
          </w:p>
        </w:tc>
        <w:tc>
          <w:tcPr>
            <w:tcW w:w="923" w:type="pct"/>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rsidR="00BD532C" w:rsidRPr="003535D5" w:rsidRDefault="00BD532C" w:rsidP="00F817F1">
            <w:pPr>
              <w:spacing w:after="0" w:line="240" w:lineRule="auto"/>
              <w:ind w:left="0" w:firstLine="0"/>
              <w:jc w:val="center"/>
              <w:rPr>
                <w:rFonts w:eastAsia="Times New Roman"/>
                <w:b/>
                <w:bCs/>
                <w:sz w:val="16"/>
                <w:szCs w:val="16"/>
              </w:rPr>
            </w:pPr>
            <w:r w:rsidRPr="003535D5">
              <w:rPr>
                <w:rFonts w:eastAsia="Times New Roman"/>
                <w:b/>
                <w:bCs/>
                <w:sz w:val="16"/>
                <w:szCs w:val="16"/>
              </w:rPr>
              <w:t>Year 5*</w:t>
            </w:r>
          </w:p>
        </w:tc>
      </w:tr>
      <w:tr w:rsidR="00BD532C" w:rsidTr="00F817F1">
        <w:trPr>
          <w:trHeight w:val="315"/>
        </w:trPr>
        <w:tc>
          <w:tcPr>
            <w:tcW w:w="1304" w:type="pct"/>
            <w:tcBorders>
              <w:top w:val="nil"/>
              <w:left w:val="single" w:sz="8" w:space="0" w:color="auto"/>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539" w:type="pct"/>
            <w:vMerge w:val="restart"/>
            <w:tcBorders>
              <w:top w:val="nil"/>
              <w:left w:val="single" w:sz="8" w:space="0" w:color="auto"/>
              <w:bottom w:val="single" w:sz="8" w:space="0" w:color="000000"/>
              <w:right w:val="single" w:sz="8" w:space="0" w:color="auto"/>
            </w:tcBorders>
            <w:shd w:val="clear" w:color="000000" w:fill="F2F2F2"/>
            <w:vAlign w:val="center"/>
            <w:hideMark/>
          </w:tcPr>
          <w:p w:rsidR="00BD532C" w:rsidRPr="003535D5" w:rsidRDefault="00BD532C" w:rsidP="00F817F1">
            <w:pPr>
              <w:spacing w:after="0" w:line="240" w:lineRule="auto"/>
              <w:ind w:left="0" w:firstLine="0"/>
              <w:jc w:val="center"/>
              <w:rPr>
                <w:rFonts w:eastAsia="Times New Roman"/>
                <w:b/>
                <w:bCs/>
                <w:sz w:val="16"/>
                <w:szCs w:val="16"/>
              </w:rPr>
            </w:pPr>
            <w:r w:rsidRPr="003535D5">
              <w:rPr>
                <w:rFonts w:eastAsia="Times New Roman"/>
                <w:b/>
                <w:bCs/>
                <w:sz w:val="16"/>
                <w:szCs w:val="16"/>
              </w:rPr>
              <w:t>Academic Year 2012/13</w:t>
            </w:r>
          </w:p>
        </w:tc>
        <w:tc>
          <w:tcPr>
            <w:tcW w:w="462"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62"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62"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848" w:type="pct"/>
            <w:gridSpan w:val="2"/>
            <w:vMerge/>
            <w:tcBorders>
              <w:top w:val="nil"/>
              <w:left w:val="nil"/>
              <w:bottom w:val="single" w:sz="8" w:space="0" w:color="auto"/>
              <w:right w:val="single" w:sz="8" w:space="0" w:color="auto"/>
            </w:tcBorders>
            <w:vAlign w:val="center"/>
            <w:hideMark/>
          </w:tcPr>
          <w:p w:rsidR="00BD532C" w:rsidRPr="003535D5" w:rsidRDefault="00BD532C" w:rsidP="00F817F1">
            <w:pPr>
              <w:spacing w:after="0" w:line="240" w:lineRule="auto"/>
              <w:ind w:left="0" w:firstLine="0"/>
              <w:rPr>
                <w:rFonts w:eastAsia="Times New Roman"/>
                <w:b/>
                <w:bCs/>
                <w:sz w:val="16"/>
                <w:szCs w:val="16"/>
              </w:rPr>
            </w:pPr>
          </w:p>
        </w:tc>
        <w:tc>
          <w:tcPr>
            <w:tcW w:w="923" w:type="pct"/>
            <w:gridSpan w:val="2"/>
            <w:vMerge/>
            <w:tcBorders>
              <w:top w:val="nil"/>
              <w:left w:val="nil"/>
              <w:bottom w:val="single" w:sz="8" w:space="0" w:color="auto"/>
              <w:right w:val="single" w:sz="8" w:space="0" w:color="auto"/>
            </w:tcBorders>
            <w:vAlign w:val="center"/>
            <w:hideMark/>
          </w:tcPr>
          <w:p w:rsidR="00BD532C" w:rsidRPr="003535D5" w:rsidRDefault="00BD532C" w:rsidP="00F817F1">
            <w:pPr>
              <w:spacing w:after="0" w:line="240" w:lineRule="auto"/>
              <w:ind w:left="0" w:firstLine="0"/>
              <w:rPr>
                <w:rFonts w:eastAsia="Times New Roman"/>
                <w:b/>
                <w:bCs/>
                <w:sz w:val="16"/>
                <w:szCs w:val="16"/>
              </w:rPr>
            </w:pPr>
          </w:p>
        </w:tc>
      </w:tr>
      <w:tr w:rsidR="00BD532C" w:rsidTr="00F817F1">
        <w:trPr>
          <w:trHeight w:val="315"/>
        </w:trPr>
        <w:tc>
          <w:tcPr>
            <w:tcW w:w="1304" w:type="pct"/>
            <w:tcBorders>
              <w:top w:val="nil"/>
              <w:left w:val="single" w:sz="8" w:space="0" w:color="auto"/>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539" w:type="pct"/>
            <w:vMerge/>
            <w:tcBorders>
              <w:top w:val="nil"/>
              <w:left w:val="single" w:sz="8" w:space="0" w:color="auto"/>
              <w:bottom w:val="single" w:sz="8" w:space="0" w:color="000000"/>
              <w:right w:val="single" w:sz="8" w:space="0" w:color="auto"/>
            </w:tcBorders>
            <w:vAlign w:val="center"/>
            <w:hideMark/>
          </w:tcPr>
          <w:p w:rsidR="00BD532C" w:rsidRPr="003535D5" w:rsidRDefault="00BD532C" w:rsidP="00F817F1">
            <w:pPr>
              <w:spacing w:after="0" w:line="240" w:lineRule="auto"/>
              <w:ind w:left="0" w:firstLine="0"/>
              <w:rPr>
                <w:rFonts w:eastAsia="Times New Roman"/>
                <w:b/>
                <w:bCs/>
                <w:sz w:val="16"/>
                <w:szCs w:val="16"/>
              </w:rPr>
            </w:pPr>
          </w:p>
        </w:tc>
        <w:tc>
          <w:tcPr>
            <w:tcW w:w="462" w:type="pct"/>
            <w:tcBorders>
              <w:top w:val="nil"/>
              <w:left w:val="nil"/>
              <w:bottom w:val="single" w:sz="8" w:space="0" w:color="auto"/>
              <w:right w:val="nil"/>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2013/14</w:t>
            </w:r>
          </w:p>
        </w:tc>
        <w:tc>
          <w:tcPr>
            <w:tcW w:w="462" w:type="pct"/>
            <w:tcBorders>
              <w:top w:val="nil"/>
              <w:left w:val="single" w:sz="8" w:space="0" w:color="auto"/>
              <w:bottom w:val="single" w:sz="8" w:space="0" w:color="auto"/>
              <w:right w:val="nil"/>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2014/15</w:t>
            </w:r>
          </w:p>
        </w:tc>
        <w:tc>
          <w:tcPr>
            <w:tcW w:w="462" w:type="pct"/>
            <w:tcBorders>
              <w:top w:val="nil"/>
              <w:left w:val="single" w:sz="8" w:space="0" w:color="auto"/>
              <w:bottom w:val="single" w:sz="8" w:space="0" w:color="auto"/>
              <w:right w:val="nil"/>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2015/16</w:t>
            </w:r>
          </w:p>
        </w:tc>
        <w:tc>
          <w:tcPr>
            <w:tcW w:w="848" w:type="pct"/>
            <w:gridSpan w:val="2"/>
            <w:tcBorders>
              <w:top w:val="nil"/>
              <w:left w:val="single" w:sz="8" w:space="0" w:color="auto"/>
              <w:bottom w:val="single" w:sz="8" w:space="0" w:color="auto"/>
              <w:right w:val="single" w:sz="8" w:space="0" w:color="000000"/>
            </w:tcBorders>
            <w:shd w:val="clear" w:color="000000" w:fill="F2F2F2"/>
            <w:vAlign w:val="center"/>
            <w:hideMark/>
          </w:tcPr>
          <w:p w:rsidR="00BD532C" w:rsidRPr="003535D5" w:rsidRDefault="00BD532C" w:rsidP="00F817F1">
            <w:pPr>
              <w:spacing w:after="0" w:line="240" w:lineRule="auto"/>
              <w:ind w:left="0" w:firstLine="0"/>
              <w:jc w:val="center"/>
              <w:rPr>
                <w:rFonts w:eastAsia="Times New Roman"/>
                <w:b/>
                <w:bCs/>
                <w:sz w:val="16"/>
                <w:szCs w:val="16"/>
              </w:rPr>
            </w:pPr>
            <w:r w:rsidRPr="003535D5">
              <w:rPr>
                <w:rFonts w:eastAsia="Times New Roman"/>
                <w:b/>
                <w:bCs/>
                <w:sz w:val="16"/>
                <w:szCs w:val="16"/>
              </w:rPr>
              <w:t>2016/17</w:t>
            </w:r>
          </w:p>
        </w:tc>
        <w:tc>
          <w:tcPr>
            <w:tcW w:w="923" w:type="pct"/>
            <w:gridSpan w:val="2"/>
            <w:tcBorders>
              <w:top w:val="nil"/>
              <w:left w:val="nil"/>
              <w:bottom w:val="single" w:sz="8" w:space="0" w:color="auto"/>
              <w:right w:val="single" w:sz="8" w:space="0" w:color="000000"/>
            </w:tcBorders>
            <w:shd w:val="clear" w:color="000000" w:fill="F2F2F2"/>
            <w:vAlign w:val="center"/>
            <w:hideMark/>
          </w:tcPr>
          <w:p w:rsidR="00BD532C" w:rsidRPr="003535D5" w:rsidRDefault="00BD532C" w:rsidP="00F817F1">
            <w:pPr>
              <w:spacing w:after="0" w:line="240" w:lineRule="auto"/>
              <w:ind w:left="0" w:firstLine="0"/>
              <w:jc w:val="center"/>
              <w:rPr>
                <w:rFonts w:eastAsia="Times New Roman"/>
                <w:b/>
                <w:bCs/>
                <w:sz w:val="16"/>
                <w:szCs w:val="16"/>
              </w:rPr>
            </w:pPr>
            <w:r w:rsidRPr="003535D5">
              <w:rPr>
                <w:rFonts w:eastAsia="Times New Roman"/>
                <w:b/>
                <w:bCs/>
                <w:sz w:val="16"/>
                <w:szCs w:val="16"/>
              </w:rPr>
              <w:t>2017/18</w:t>
            </w:r>
          </w:p>
        </w:tc>
      </w:tr>
      <w:tr w:rsidR="00BD532C" w:rsidTr="00F817F1">
        <w:trPr>
          <w:trHeight w:val="315"/>
        </w:trPr>
        <w:tc>
          <w:tcPr>
            <w:tcW w:w="1304" w:type="pct"/>
            <w:tcBorders>
              <w:top w:val="nil"/>
              <w:left w:val="single" w:sz="8" w:space="0" w:color="auto"/>
              <w:bottom w:val="single" w:sz="4"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*refers to academic year</w:t>
            </w:r>
          </w:p>
        </w:tc>
        <w:tc>
          <w:tcPr>
            <w:tcW w:w="539" w:type="pct"/>
            <w:vMerge/>
            <w:tcBorders>
              <w:top w:val="nil"/>
              <w:left w:val="single" w:sz="8" w:space="0" w:color="auto"/>
              <w:bottom w:val="single" w:sz="4" w:space="0" w:color="auto"/>
              <w:right w:val="single" w:sz="8" w:space="0" w:color="auto"/>
            </w:tcBorders>
            <w:vAlign w:val="center"/>
            <w:hideMark/>
          </w:tcPr>
          <w:p w:rsidR="00BD532C" w:rsidRPr="003535D5" w:rsidRDefault="00BD532C" w:rsidP="00F817F1">
            <w:pPr>
              <w:spacing w:after="0" w:line="240" w:lineRule="auto"/>
              <w:ind w:left="0" w:firstLine="0"/>
              <w:rPr>
                <w:rFonts w:eastAsia="Times New Roman"/>
                <w:b/>
                <w:bCs/>
                <w:sz w:val="16"/>
                <w:szCs w:val="16"/>
              </w:rPr>
            </w:pPr>
          </w:p>
        </w:tc>
        <w:tc>
          <w:tcPr>
            <w:tcW w:w="462" w:type="pct"/>
            <w:tcBorders>
              <w:top w:val="nil"/>
              <w:left w:val="nil"/>
              <w:bottom w:val="single" w:sz="4"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xml:space="preserve">Actual </w:t>
            </w:r>
          </w:p>
        </w:tc>
        <w:tc>
          <w:tcPr>
            <w:tcW w:w="462" w:type="pct"/>
            <w:tcBorders>
              <w:top w:val="nil"/>
              <w:left w:val="nil"/>
              <w:bottom w:val="single" w:sz="4"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xml:space="preserve">Actual </w:t>
            </w:r>
          </w:p>
        </w:tc>
        <w:tc>
          <w:tcPr>
            <w:tcW w:w="462" w:type="pct"/>
            <w:tcBorders>
              <w:top w:val="nil"/>
              <w:left w:val="nil"/>
              <w:bottom w:val="single" w:sz="4"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xml:space="preserve">Actual </w:t>
            </w:r>
          </w:p>
        </w:tc>
        <w:tc>
          <w:tcPr>
            <w:tcW w:w="438" w:type="pct"/>
            <w:tcBorders>
              <w:top w:val="nil"/>
              <w:left w:val="nil"/>
              <w:bottom w:val="single" w:sz="4"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Target</w:t>
            </w:r>
          </w:p>
        </w:tc>
        <w:tc>
          <w:tcPr>
            <w:tcW w:w="410" w:type="pct"/>
            <w:tcBorders>
              <w:top w:val="nil"/>
              <w:left w:val="nil"/>
              <w:bottom w:val="single" w:sz="4"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xml:space="preserve">Actual </w:t>
            </w:r>
          </w:p>
        </w:tc>
        <w:tc>
          <w:tcPr>
            <w:tcW w:w="462" w:type="pct"/>
            <w:tcBorders>
              <w:top w:val="nil"/>
              <w:left w:val="nil"/>
              <w:bottom w:val="single" w:sz="4"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Target</w:t>
            </w:r>
          </w:p>
        </w:tc>
        <w:tc>
          <w:tcPr>
            <w:tcW w:w="461" w:type="pct"/>
            <w:tcBorders>
              <w:top w:val="nil"/>
              <w:left w:val="nil"/>
              <w:bottom w:val="single" w:sz="4"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Actual</w:t>
            </w:r>
          </w:p>
        </w:tc>
      </w:tr>
      <w:tr w:rsidR="00BD532C" w:rsidTr="00F817F1">
        <w:trPr>
          <w:trHeight w:val="300"/>
        </w:trPr>
        <w:tc>
          <w:tcPr>
            <w:tcW w:w="1304" w:type="pct"/>
            <w:tcBorders>
              <w:top w:val="single" w:sz="4" w:space="0" w:color="auto"/>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1. Apprenticeships starts in construction</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br/>
            </w:r>
            <w:r w:rsidRPr="003535D5">
              <w:rPr>
                <w:rFonts w:eastAsia="Times New Roman"/>
                <w:sz w:val="16"/>
                <w:szCs w:val="16"/>
              </w:rPr>
              <w:br/>
            </w:r>
            <w:r w:rsidRPr="003535D5">
              <w:rPr>
                <w:rFonts w:eastAsia="Times New Roman"/>
                <w:sz w:val="16"/>
                <w:szCs w:val="16"/>
              </w:rPr>
              <w:br/>
            </w:r>
            <w:r w:rsidRPr="003535D5">
              <w:rPr>
                <w:rFonts w:eastAsia="Times New Roman"/>
                <w:sz w:val="16"/>
                <w:szCs w:val="16"/>
              </w:rPr>
              <w:br/>
            </w:r>
            <w:r w:rsidRPr="003535D5">
              <w:rPr>
                <w:rFonts w:eastAsia="Times New Roman"/>
                <w:sz w:val="16"/>
                <w:szCs w:val="16"/>
              </w:rPr>
              <w:br/>
              <w:t>N/A</w:t>
            </w:r>
          </w:p>
        </w:tc>
        <w:tc>
          <w:tcPr>
            <w:tcW w:w="462" w:type="pct"/>
            <w:tcBorders>
              <w:top w:val="single" w:sz="4" w:space="0" w:color="auto"/>
              <w:left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single" w:sz="4" w:space="0" w:color="auto"/>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single" w:sz="4" w:space="0" w:color="auto"/>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single" w:sz="4" w:space="0" w:color="auto"/>
              <w:left w:val="single" w:sz="4" w:space="0" w:color="auto"/>
              <w:bottom w:val="nil"/>
              <w:right w:val="single" w:sz="4"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5%</w:t>
            </w:r>
          </w:p>
        </w:tc>
        <w:tc>
          <w:tcPr>
            <w:tcW w:w="410" w:type="pct"/>
            <w:tcBorders>
              <w:top w:val="single" w:sz="4" w:space="0" w:color="auto"/>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25%</w:t>
            </w:r>
          </w:p>
        </w:tc>
        <w:tc>
          <w:tcPr>
            <w:tcW w:w="462" w:type="pct"/>
            <w:tcBorders>
              <w:top w:val="single" w:sz="4" w:space="0" w:color="auto"/>
              <w:left w:val="single" w:sz="4" w:space="0" w:color="auto"/>
              <w:bottom w:val="nil"/>
              <w:right w:val="single" w:sz="4"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8%</w:t>
            </w:r>
          </w:p>
        </w:tc>
        <w:tc>
          <w:tcPr>
            <w:tcW w:w="461" w:type="pct"/>
            <w:tcBorders>
              <w:top w:val="single" w:sz="4" w:space="0" w:color="auto"/>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80%</w:t>
            </w:r>
          </w:p>
        </w:tc>
      </w:tr>
      <w:tr w:rsidR="00BD532C" w:rsidTr="00F817F1">
        <w:trPr>
          <w:trHeight w:val="675"/>
        </w:trPr>
        <w:tc>
          <w:tcPr>
            <w:tcW w:w="1304" w:type="pct"/>
            <w:tcBorders>
              <w:top w:val="nil"/>
              <w:left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xml:space="preserve">16-24 year olds residents of Preston and South </w:t>
            </w:r>
            <w:proofErr w:type="spellStart"/>
            <w:r w:rsidRPr="003535D5">
              <w:rPr>
                <w:rFonts w:eastAsia="Times New Roman"/>
                <w:sz w:val="16"/>
                <w:szCs w:val="16"/>
              </w:rPr>
              <w:t>Ribble</w:t>
            </w:r>
            <w:proofErr w:type="spellEnd"/>
            <w:r w:rsidRPr="003535D5">
              <w:rPr>
                <w:rFonts w:eastAsia="Times New Roman"/>
                <w:sz w:val="16"/>
                <w:szCs w:val="16"/>
              </w:rPr>
              <w:t xml:space="preserve"> who have started an apprenticeship in the construction sector. Additional numbers year on year.</w:t>
            </w:r>
          </w:p>
        </w:tc>
        <w:tc>
          <w:tcPr>
            <w:tcW w:w="539" w:type="pct"/>
            <w:vMerge/>
            <w:tcBorders>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tcBorders>
              <w:left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101</w:t>
            </w:r>
          </w:p>
        </w:tc>
        <w:tc>
          <w:tcPr>
            <w:tcW w:w="462" w:type="pct"/>
            <w:tcBorders>
              <w:top w:val="nil"/>
              <w:left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121</w:t>
            </w:r>
          </w:p>
        </w:tc>
        <w:tc>
          <w:tcPr>
            <w:tcW w:w="462" w:type="pct"/>
            <w:tcBorders>
              <w:top w:val="nil"/>
              <w:left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124</w:t>
            </w:r>
          </w:p>
        </w:tc>
        <w:tc>
          <w:tcPr>
            <w:tcW w:w="438" w:type="pct"/>
            <w:tcBorders>
              <w:top w:val="nil"/>
              <w:left w:val="single" w:sz="4" w:space="0" w:color="auto"/>
              <w:right w:val="single" w:sz="4"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130</w:t>
            </w:r>
          </w:p>
        </w:tc>
        <w:tc>
          <w:tcPr>
            <w:tcW w:w="410" w:type="pct"/>
            <w:tcBorders>
              <w:top w:val="nil"/>
              <w:left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155</w:t>
            </w:r>
          </w:p>
        </w:tc>
        <w:tc>
          <w:tcPr>
            <w:tcW w:w="462" w:type="pct"/>
            <w:tcBorders>
              <w:top w:val="nil"/>
              <w:left w:val="single" w:sz="4" w:space="0" w:color="auto"/>
              <w:right w:val="single" w:sz="4"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167</w:t>
            </w:r>
          </w:p>
        </w:tc>
        <w:tc>
          <w:tcPr>
            <w:tcW w:w="461" w:type="pct"/>
            <w:tcBorders>
              <w:top w:val="nil"/>
              <w:left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279</w:t>
            </w:r>
          </w:p>
        </w:tc>
      </w:tr>
      <w:tr w:rsidR="00BD532C" w:rsidTr="00F817F1">
        <w:trPr>
          <w:trHeight w:val="70"/>
        </w:trPr>
        <w:tc>
          <w:tcPr>
            <w:tcW w:w="1304" w:type="pct"/>
            <w:tcBorders>
              <w:left w:val="single" w:sz="4" w:space="0" w:color="auto"/>
              <w:right w:val="single" w:sz="4" w:space="0" w:color="auto"/>
            </w:tcBorders>
            <w:shd w:val="clear" w:color="auto" w:fill="auto"/>
            <w:vAlign w:val="center"/>
          </w:tcPr>
          <w:p w:rsidR="00BD532C" w:rsidRPr="003535D5" w:rsidRDefault="00BD532C" w:rsidP="00F817F1">
            <w:pPr>
              <w:spacing w:after="0" w:line="240" w:lineRule="auto"/>
              <w:ind w:left="0" w:firstLine="0"/>
              <w:rPr>
                <w:rFonts w:eastAsia="Times New Roman"/>
                <w:sz w:val="16"/>
                <w:szCs w:val="16"/>
              </w:rPr>
            </w:pPr>
          </w:p>
        </w:tc>
        <w:tc>
          <w:tcPr>
            <w:tcW w:w="539" w:type="pct"/>
            <w:vMerge/>
            <w:tcBorders>
              <w:left w:val="single" w:sz="4" w:space="0" w:color="auto"/>
              <w:bottom w:val="single" w:sz="4" w:space="0" w:color="auto"/>
              <w:right w:val="single" w:sz="4" w:space="0" w:color="auto"/>
            </w:tcBorders>
            <w:vAlign w:val="center"/>
          </w:tcPr>
          <w:p w:rsidR="00BD532C" w:rsidRPr="003535D5" w:rsidRDefault="00BD532C" w:rsidP="00F817F1">
            <w:pPr>
              <w:spacing w:after="0" w:line="240" w:lineRule="auto"/>
              <w:ind w:left="0" w:firstLine="0"/>
              <w:rPr>
                <w:rFonts w:eastAsia="Times New Roman"/>
                <w:sz w:val="16"/>
                <w:szCs w:val="16"/>
              </w:rPr>
            </w:pPr>
          </w:p>
        </w:tc>
        <w:tc>
          <w:tcPr>
            <w:tcW w:w="462" w:type="pct"/>
            <w:tcBorders>
              <w:left w:val="single" w:sz="4" w:space="0" w:color="auto"/>
              <w:right w:val="single" w:sz="4" w:space="0" w:color="auto"/>
            </w:tcBorders>
            <w:shd w:val="clear" w:color="auto" w:fill="auto"/>
            <w:vAlign w:val="center"/>
          </w:tcPr>
          <w:p w:rsidR="00BD532C" w:rsidRPr="003535D5" w:rsidRDefault="00BD532C" w:rsidP="00F817F1">
            <w:pPr>
              <w:spacing w:after="0" w:line="240" w:lineRule="auto"/>
              <w:ind w:left="0" w:firstLine="0"/>
              <w:jc w:val="right"/>
              <w:rPr>
                <w:rFonts w:eastAsia="Times New Roman"/>
                <w:b/>
                <w:bCs/>
                <w:sz w:val="16"/>
                <w:szCs w:val="16"/>
              </w:rPr>
            </w:pPr>
          </w:p>
        </w:tc>
        <w:tc>
          <w:tcPr>
            <w:tcW w:w="462" w:type="pct"/>
            <w:tcBorders>
              <w:left w:val="single" w:sz="4" w:space="0" w:color="auto"/>
              <w:right w:val="single" w:sz="4" w:space="0" w:color="auto"/>
            </w:tcBorders>
            <w:shd w:val="clear" w:color="auto" w:fill="auto"/>
            <w:vAlign w:val="center"/>
          </w:tcPr>
          <w:p w:rsidR="00BD532C" w:rsidRPr="003535D5" w:rsidRDefault="00BD532C" w:rsidP="00F817F1">
            <w:pPr>
              <w:spacing w:after="0" w:line="240" w:lineRule="auto"/>
              <w:ind w:left="0" w:firstLine="0"/>
              <w:jc w:val="right"/>
              <w:rPr>
                <w:rFonts w:eastAsia="Times New Roman"/>
                <w:b/>
                <w:bCs/>
                <w:sz w:val="16"/>
                <w:szCs w:val="16"/>
              </w:rPr>
            </w:pPr>
          </w:p>
        </w:tc>
        <w:tc>
          <w:tcPr>
            <w:tcW w:w="462" w:type="pct"/>
            <w:tcBorders>
              <w:left w:val="single" w:sz="4" w:space="0" w:color="auto"/>
              <w:right w:val="single" w:sz="4" w:space="0" w:color="auto"/>
            </w:tcBorders>
            <w:shd w:val="clear" w:color="auto" w:fill="auto"/>
            <w:vAlign w:val="center"/>
          </w:tcPr>
          <w:p w:rsidR="00BD532C" w:rsidRPr="003535D5" w:rsidRDefault="00BD532C" w:rsidP="00F817F1">
            <w:pPr>
              <w:spacing w:after="0" w:line="240" w:lineRule="auto"/>
              <w:ind w:left="0" w:firstLine="0"/>
              <w:jc w:val="right"/>
              <w:rPr>
                <w:rFonts w:eastAsia="Times New Roman"/>
                <w:b/>
                <w:bCs/>
                <w:sz w:val="16"/>
                <w:szCs w:val="16"/>
              </w:rPr>
            </w:pPr>
          </w:p>
        </w:tc>
        <w:tc>
          <w:tcPr>
            <w:tcW w:w="438" w:type="pct"/>
            <w:tcBorders>
              <w:left w:val="single" w:sz="4" w:space="0" w:color="auto"/>
              <w:right w:val="single" w:sz="4" w:space="0" w:color="auto"/>
            </w:tcBorders>
            <w:shd w:val="clear" w:color="000000" w:fill="F2F2F2"/>
            <w:vAlign w:val="center"/>
          </w:tcPr>
          <w:p w:rsidR="00BD532C" w:rsidRPr="003535D5" w:rsidRDefault="00BD532C" w:rsidP="00F817F1">
            <w:pPr>
              <w:spacing w:after="0" w:line="240" w:lineRule="auto"/>
              <w:ind w:left="0" w:firstLine="0"/>
              <w:jc w:val="right"/>
              <w:rPr>
                <w:rFonts w:eastAsia="Times New Roman"/>
                <w:sz w:val="16"/>
                <w:szCs w:val="16"/>
              </w:rPr>
            </w:pPr>
          </w:p>
        </w:tc>
        <w:tc>
          <w:tcPr>
            <w:tcW w:w="410" w:type="pct"/>
            <w:tcBorders>
              <w:left w:val="single" w:sz="4" w:space="0" w:color="auto"/>
              <w:right w:val="single" w:sz="4" w:space="0" w:color="auto"/>
            </w:tcBorders>
            <w:shd w:val="clear" w:color="auto" w:fill="auto"/>
            <w:vAlign w:val="center"/>
          </w:tcPr>
          <w:p w:rsidR="00BD532C" w:rsidRPr="003535D5" w:rsidRDefault="00BD532C" w:rsidP="00F817F1">
            <w:pPr>
              <w:spacing w:after="0" w:line="240" w:lineRule="auto"/>
              <w:ind w:left="0" w:firstLine="0"/>
              <w:jc w:val="right"/>
              <w:rPr>
                <w:rFonts w:eastAsia="Times New Roman"/>
                <w:b/>
                <w:bCs/>
                <w:sz w:val="16"/>
                <w:szCs w:val="16"/>
              </w:rPr>
            </w:pPr>
          </w:p>
        </w:tc>
        <w:tc>
          <w:tcPr>
            <w:tcW w:w="462" w:type="pct"/>
            <w:tcBorders>
              <w:left w:val="single" w:sz="4" w:space="0" w:color="auto"/>
              <w:right w:val="single" w:sz="4" w:space="0" w:color="auto"/>
            </w:tcBorders>
            <w:shd w:val="clear" w:color="000000" w:fill="F2F2F2"/>
            <w:vAlign w:val="center"/>
          </w:tcPr>
          <w:p w:rsidR="00BD532C" w:rsidRPr="003535D5" w:rsidRDefault="00BD532C" w:rsidP="00F817F1">
            <w:pPr>
              <w:spacing w:after="0" w:line="240" w:lineRule="auto"/>
              <w:ind w:left="0" w:firstLine="0"/>
              <w:jc w:val="right"/>
              <w:rPr>
                <w:rFonts w:eastAsia="Times New Roman"/>
                <w:sz w:val="16"/>
                <w:szCs w:val="16"/>
              </w:rPr>
            </w:pPr>
          </w:p>
        </w:tc>
        <w:tc>
          <w:tcPr>
            <w:tcW w:w="461" w:type="pct"/>
            <w:tcBorders>
              <w:left w:val="single" w:sz="4" w:space="0" w:color="auto"/>
              <w:right w:val="single" w:sz="4" w:space="0" w:color="auto"/>
            </w:tcBorders>
            <w:shd w:val="clear" w:color="auto" w:fill="auto"/>
            <w:vAlign w:val="center"/>
          </w:tcPr>
          <w:p w:rsidR="00BD532C" w:rsidRPr="003535D5" w:rsidRDefault="00BD532C" w:rsidP="00F817F1">
            <w:pPr>
              <w:spacing w:after="0" w:line="240" w:lineRule="auto"/>
              <w:ind w:left="0" w:firstLine="0"/>
              <w:jc w:val="right"/>
              <w:rPr>
                <w:rFonts w:eastAsia="Times New Roman"/>
                <w:b/>
                <w:bCs/>
                <w:sz w:val="16"/>
                <w:szCs w:val="16"/>
              </w:rPr>
            </w:pPr>
          </w:p>
        </w:tc>
      </w:tr>
      <w:tr w:rsidR="00BD532C" w:rsidTr="00F817F1">
        <w:trPr>
          <w:trHeight w:val="465"/>
        </w:trPr>
        <w:tc>
          <w:tcPr>
            <w:tcW w:w="1304" w:type="pct"/>
            <w:tcBorders>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xml:space="preserve">Source: Preston's College, </w:t>
            </w:r>
            <w:proofErr w:type="spellStart"/>
            <w:r w:rsidRPr="003535D5">
              <w:rPr>
                <w:rFonts w:eastAsia="Times New Roman"/>
                <w:sz w:val="16"/>
                <w:szCs w:val="16"/>
              </w:rPr>
              <w:t>Runshaw</w:t>
            </w:r>
            <w:proofErr w:type="spellEnd"/>
            <w:r w:rsidRPr="003535D5">
              <w:rPr>
                <w:rFonts w:eastAsia="Times New Roman"/>
                <w:sz w:val="16"/>
                <w:szCs w:val="16"/>
              </w:rPr>
              <w:t xml:space="preserve"> College and T2000 ESFA data</w:t>
            </w:r>
          </w:p>
        </w:tc>
        <w:tc>
          <w:tcPr>
            <w:tcW w:w="539" w:type="pct"/>
            <w:vMerge/>
            <w:tcBorders>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tcBorders>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left w:val="single" w:sz="4" w:space="0" w:color="auto"/>
              <w:bottom w:val="single" w:sz="4" w:space="0" w:color="auto"/>
              <w:right w:val="single" w:sz="4"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10" w:type="pct"/>
            <w:tcBorders>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left w:val="single" w:sz="4" w:space="0" w:color="auto"/>
              <w:bottom w:val="single" w:sz="4" w:space="0" w:color="auto"/>
              <w:right w:val="single" w:sz="4"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1" w:type="pct"/>
            <w:tcBorders>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r>
      <w:tr w:rsidR="00BD532C" w:rsidTr="00F817F1">
        <w:trPr>
          <w:trHeight w:val="300"/>
        </w:trPr>
        <w:tc>
          <w:tcPr>
            <w:tcW w:w="1304" w:type="pct"/>
            <w:tcBorders>
              <w:top w:val="single" w:sz="4" w:space="0" w:color="auto"/>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2. Apprenticeship starts in all subjects</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br/>
            </w:r>
            <w:r w:rsidRPr="003535D5">
              <w:rPr>
                <w:rFonts w:eastAsia="Times New Roman"/>
                <w:sz w:val="16"/>
                <w:szCs w:val="16"/>
              </w:rPr>
              <w:br/>
            </w:r>
            <w:r w:rsidRPr="003535D5">
              <w:rPr>
                <w:rFonts w:eastAsia="Times New Roman"/>
                <w:sz w:val="16"/>
                <w:szCs w:val="16"/>
              </w:rPr>
              <w:lastRenderedPageBreak/>
              <w:br/>
            </w:r>
            <w:r w:rsidRPr="003535D5">
              <w:rPr>
                <w:rFonts w:eastAsia="Times New Roman"/>
                <w:sz w:val="16"/>
                <w:szCs w:val="16"/>
              </w:rPr>
              <w:br/>
            </w:r>
            <w:r w:rsidRPr="003535D5">
              <w:rPr>
                <w:rFonts w:eastAsia="Times New Roman"/>
                <w:sz w:val="16"/>
                <w:szCs w:val="16"/>
              </w:rPr>
              <w:br/>
              <w:t>N/A</w:t>
            </w:r>
          </w:p>
        </w:tc>
        <w:tc>
          <w:tcPr>
            <w:tcW w:w="462" w:type="pct"/>
            <w:tcBorders>
              <w:top w:val="single" w:sz="4" w:space="0" w:color="auto"/>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lastRenderedPageBreak/>
              <w:t> </w:t>
            </w:r>
          </w:p>
        </w:tc>
        <w:tc>
          <w:tcPr>
            <w:tcW w:w="462" w:type="pct"/>
            <w:tcBorders>
              <w:top w:val="single" w:sz="4" w:space="0" w:color="auto"/>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single" w:sz="4" w:space="0" w:color="auto"/>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single" w:sz="4" w:space="0" w:color="auto"/>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w:t>
            </w:r>
          </w:p>
        </w:tc>
        <w:tc>
          <w:tcPr>
            <w:tcW w:w="410" w:type="pct"/>
            <w:tcBorders>
              <w:top w:val="single" w:sz="4" w:space="0" w:color="auto"/>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23%</w:t>
            </w:r>
          </w:p>
        </w:tc>
        <w:tc>
          <w:tcPr>
            <w:tcW w:w="462" w:type="pct"/>
            <w:tcBorders>
              <w:top w:val="single" w:sz="4" w:space="0" w:color="auto"/>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4%</w:t>
            </w:r>
          </w:p>
        </w:tc>
        <w:tc>
          <w:tcPr>
            <w:tcW w:w="461" w:type="pct"/>
            <w:tcBorders>
              <w:top w:val="single" w:sz="4" w:space="0" w:color="auto"/>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16%</w:t>
            </w:r>
          </w:p>
        </w:tc>
      </w:tr>
      <w:tr w:rsidR="00BD532C" w:rsidTr="00F817F1">
        <w:trPr>
          <w:trHeight w:val="675"/>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lastRenderedPageBreak/>
              <w:t xml:space="preserve">16-24 year old residents of Preston and South </w:t>
            </w:r>
            <w:proofErr w:type="spellStart"/>
            <w:r w:rsidRPr="003535D5">
              <w:rPr>
                <w:rFonts w:eastAsia="Times New Roman"/>
                <w:sz w:val="16"/>
                <w:szCs w:val="16"/>
              </w:rPr>
              <w:t>Ribble</w:t>
            </w:r>
            <w:proofErr w:type="spellEnd"/>
            <w:r w:rsidRPr="003535D5">
              <w:rPr>
                <w:rFonts w:eastAsia="Times New Roman"/>
                <w:sz w:val="16"/>
                <w:szCs w:val="16"/>
              </w:rPr>
              <w:t xml:space="preserve"> who have started an apprenticeship (excluding construction). Additional numbers year on year.</w:t>
            </w:r>
          </w:p>
        </w:tc>
        <w:tc>
          <w:tcPr>
            <w:tcW w:w="539"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672</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684</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710</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724</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875</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910</w:t>
            </w:r>
          </w:p>
        </w:tc>
        <w:tc>
          <w:tcPr>
            <w:tcW w:w="461"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1,018</w:t>
            </w:r>
          </w:p>
        </w:tc>
      </w:tr>
      <w:tr w:rsidR="00BD532C" w:rsidTr="00F817F1">
        <w:trPr>
          <w:trHeight w:val="7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539"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1"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r>
      <w:tr w:rsidR="00BD532C" w:rsidTr="00F817F1">
        <w:trPr>
          <w:trHeight w:val="465"/>
        </w:trPr>
        <w:tc>
          <w:tcPr>
            <w:tcW w:w="1304" w:type="pct"/>
            <w:tcBorders>
              <w:top w:val="nil"/>
              <w:left w:val="single" w:sz="8" w:space="0" w:color="auto"/>
              <w:bottom w:val="single" w:sz="8"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i/>
                <w:sz w:val="16"/>
                <w:szCs w:val="16"/>
              </w:rPr>
            </w:pPr>
            <w:r w:rsidRPr="003535D5">
              <w:rPr>
                <w:rFonts w:eastAsia="Times New Roman"/>
                <w:i/>
                <w:sz w:val="16"/>
                <w:szCs w:val="16"/>
              </w:rPr>
              <w:t xml:space="preserve">Source: Preston's College, </w:t>
            </w:r>
            <w:proofErr w:type="spellStart"/>
            <w:r w:rsidRPr="003535D5">
              <w:rPr>
                <w:rFonts w:eastAsia="Times New Roman"/>
                <w:i/>
                <w:sz w:val="16"/>
                <w:szCs w:val="16"/>
              </w:rPr>
              <w:t>Runshaw</w:t>
            </w:r>
            <w:proofErr w:type="spellEnd"/>
            <w:r w:rsidRPr="003535D5">
              <w:rPr>
                <w:rFonts w:eastAsia="Times New Roman"/>
                <w:i/>
                <w:sz w:val="16"/>
                <w:szCs w:val="16"/>
              </w:rPr>
              <w:t xml:space="preserve"> College and Training 2000 ESFA data</w:t>
            </w:r>
          </w:p>
        </w:tc>
        <w:tc>
          <w:tcPr>
            <w:tcW w:w="539"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tcBorders>
              <w:top w:val="nil"/>
              <w:left w:val="single" w:sz="4" w:space="0" w:color="auto"/>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10"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1" w:type="pct"/>
            <w:tcBorders>
              <w:top w:val="nil"/>
              <w:left w:val="nil"/>
              <w:bottom w:val="single" w:sz="4"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r>
      <w:tr w:rsidR="00BD532C" w:rsidTr="00F817F1">
        <w:trPr>
          <w:trHeight w:val="45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xml:space="preserve">3. HE leavers getting graduate jobs in construction and engineering </w:t>
            </w:r>
          </w:p>
        </w:tc>
        <w:tc>
          <w:tcPr>
            <w:tcW w:w="539" w:type="pct"/>
            <w:tcBorders>
              <w:top w:val="single" w:sz="4" w:space="0" w:color="auto"/>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5%</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9%</w:t>
            </w:r>
          </w:p>
        </w:tc>
        <w:tc>
          <w:tcPr>
            <w:tcW w:w="462" w:type="pct"/>
            <w:tcBorders>
              <w:top w:val="nil"/>
              <w:left w:val="nil"/>
              <w:bottom w:val="nil"/>
              <w:right w:val="single" w:sz="4"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5%</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br/>
              <w:t>2016/17 is the latest data available</w:t>
            </w:r>
          </w:p>
        </w:tc>
      </w:tr>
      <w:tr w:rsidR="00BD532C" w:rsidTr="00F817F1">
        <w:trPr>
          <w:trHeight w:val="107"/>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539" w:type="pct"/>
            <w:tcBorders>
              <w:top w:val="nil"/>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10" w:type="pct"/>
            <w:tcBorders>
              <w:top w:val="nil"/>
              <w:left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4"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1"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r>
      <w:tr w:rsidR="00BD532C" w:rsidTr="00F817F1">
        <w:trPr>
          <w:trHeight w:val="675"/>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Destinations of leavers in higher education (DLHE) into construction and engineering graduate jobs.  Additional numbers beyond the 2012/13 baseline</w:t>
            </w:r>
          </w:p>
        </w:tc>
        <w:tc>
          <w:tcPr>
            <w:tcW w:w="539" w:type="pct"/>
            <w:tcBorders>
              <w:top w:val="nil"/>
              <w:left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85</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116</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69</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78</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82</w:t>
            </w:r>
          </w:p>
        </w:tc>
        <w:tc>
          <w:tcPr>
            <w:tcW w:w="410" w:type="pct"/>
            <w:tcBorders>
              <w:top w:val="nil"/>
              <w:left w:val="nil"/>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85</w:t>
            </w:r>
          </w:p>
        </w:tc>
        <w:tc>
          <w:tcPr>
            <w:tcW w:w="462" w:type="pct"/>
            <w:tcBorders>
              <w:top w:val="nil"/>
              <w:left w:val="single" w:sz="4" w:space="0" w:color="auto"/>
              <w:right w:val="single" w:sz="4"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89</w:t>
            </w:r>
          </w:p>
        </w:tc>
        <w:tc>
          <w:tcPr>
            <w:tcW w:w="461"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r>
      <w:tr w:rsidR="00BD532C" w:rsidTr="00F817F1">
        <w:trPr>
          <w:trHeight w:val="315"/>
        </w:trPr>
        <w:tc>
          <w:tcPr>
            <w:tcW w:w="1304" w:type="pct"/>
            <w:tcBorders>
              <w:top w:val="nil"/>
              <w:left w:val="single" w:sz="8" w:space="0" w:color="auto"/>
              <w:bottom w:val="single" w:sz="8"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Source: DLHE Data</w:t>
            </w:r>
          </w:p>
        </w:tc>
        <w:tc>
          <w:tcPr>
            <w:tcW w:w="539" w:type="pct"/>
            <w:tcBorders>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10" w:type="pct"/>
            <w:tcBorders>
              <w:top w:val="nil"/>
              <w:left w:val="nil"/>
              <w:bottom w:val="single" w:sz="8"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single" w:sz="4" w:space="0" w:color="auto"/>
              <w:right w:val="single" w:sz="4"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1" w:type="pct"/>
            <w:vMerge/>
            <w:tcBorders>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r>
      <w:tr w:rsidR="00BD532C" w:rsidTr="00F817F1">
        <w:trPr>
          <w:trHeight w:val="30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4. HE leavers getting graduate jobs in all sectors</w:t>
            </w:r>
          </w:p>
        </w:tc>
        <w:tc>
          <w:tcPr>
            <w:tcW w:w="539" w:type="pct"/>
            <w:tcBorders>
              <w:top w:val="single" w:sz="4" w:space="0" w:color="auto"/>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2.5%</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w:t>
            </w:r>
          </w:p>
        </w:tc>
        <w:tc>
          <w:tcPr>
            <w:tcW w:w="462" w:type="pct"/>
            <w:tcBorders>
              <w:top w:val="single" w:sz="4" w:space="0" w:color="auto"/>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2.5%</w:t>
            </w:r>
          </w:p>
        </w:tc>
        <w:tc>
          <w:tcPr>
            <w:tcW w:w="461"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2016/17 is the latest data available</w:t>
            </w:r>
          </w:p>
        </w:tc>
      </w:tr>
      <w:tr w:rsidR="00BD532C" w:rsidTr="00F817F1">
        <w:trPr>
          <w:trHeight w:val="675"/>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Destinations of leavers in higher education (DLHE) into all graduate jobs.  Additional numbers beyond the 2012/13 baseline</w:t>
            </w:r>
          </w:p>
        </w:tc>
        <w:tc>
          <w:tcPr>
            <w:tcW w:w="539" w:type="pct"/>
            <w:tcBorders>
              <w:top w:val="nil"/>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4,223</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4,332</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4,118</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4,151</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4255</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4,072</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4174</w:t>
            </w:r>
          </w:p>
        </w:tc>
        <w:tc>
          <w:tcPr>
            <w:tcW w:w="461" w:type="pct"/>
            <w:vMerge/>
            <w:tcBorders>
              <w:top w:val="nil"/>
              <w:left w:val="single" w:sz="8" w:space="0" w:color="auto"/>
              <w:bottom w:val="single" w:sz="8" w:space="0" w:color="000000"/>
              <w:right w:val="single" w:sz="8"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r>
      <w:tr w:rsidR="00BD532C" w:rsidTr="00F817F1">
        <w:trPr>
          <w:trHeight w:val="315"/>
        </w:trPr>
        <w:tc>
          <w:tcPr>
            <w:tcW w:w="1304" w:type="pct"/>
            <w:tcBorders>
              <w:top w:val="nil"/>
              <w:left w:val="single" w:sz="8" w:space="0" w:color="auto"/>
              <w:bottom w:val="single" w:sz="8"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Source: DLHE Data</w:t>
            </w:r>
          </w:p>
        </w:tc>
        <w:tc>
          <w:tcPr>
            <w:tcW w:w="539" w:type="pct"/>
            <w:tcBorders>
              <w:top w:val="nil"/>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10"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1" w:type="pct"/>
            <w:vMerge/>
            <w:tcBorders>
              <w:top w:val="nil"/>
              <w:left w:val="single" w:sz="8" w:space="0" w:color="auto"/>
              <w:bottom w:val="single" w:sz="8" w:space="0" w:color="000000"/>
              <w:right w:val="single" w:sz="8"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r>
      <w:tr w:rsidR="00BD532C" w:rsidTr="00F817F1">
        <w:trPr>
          <w:trHeight w:val="45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5. Graduate placements and internships across all sectors</w:t>
            </w:r>
          </w:p>
        </w:tc>
        <w:tc>
          <w:tcPr>
            <w:tcW w:w="539" w:type="pct"/>
            <w:tcBorders>
              <w:top w:val="single" w:sz="4" w:space="0" w:color="auto"/>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-20%</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w:t>
            </w:r>
          </w:p>
        </w:tc>
        <w:tc>
          <w:tcPr>
            <w:tcW w:w="461" w:type="pct"/>
            <w:vMerge w:val="restart"/>
            <w:tcBorders>
              <w:top w:val="nil"/>
              <w:left w:val="single" w:sz="8" w:space="0" w:color="auto"/>
              <w:bottom w:val="single" w:sz="8" w:space="0" w:color="000000"/>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2016/17 is the latest data available</w:t>
            </w:r>
          </w:p>
        </w:tc>
      </w:tr>
      <w:tr w:rsidR="00BD532C" w:rsidTr="00F817F1">
        <w:trPr>
          <w:trHeight w:val="30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Additional numbers beyond the 2012/2013 baseline</w:t>
            </w:r>
          </w:p>
        </w:tc>
        <w:tc>
          <w:tcPr>
            <w:tcW w:w="539" w:type="pct"/>
            <w:tcBorders>
              <w:top w:val="nil"/>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323</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476</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566</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537</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548</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432</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441</w:t>
            </w:r>
          </w:p>
        </w:tc>
        <w:tc>
          <w:tcPr>
            <w:tcW w:w="461" w:type="pct"/>
            <w:vMerge/>
            <w:tcBorders>
              <w:top w:val="nil"/>
              <w:left w:val="single" w:sz="8" w:space="0" w:color="auto"/>
              <w:bottom w:val="single" w:sz="8" w:space="0" w:color="000000"/>
              <w:right w:val="single" w:sz="8"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r>
      <w:tr w:rsidR="00BD532C" w:rsidTr="00F817F1">
        <w:trPr>
          <w:trHeight w:val="315"/>
        </w:trPr>
        <w:tc>
          <w:tcPr>
            <w:tcW w:w="1304" w:type="pct"/>
            <w:tcBorders>
              <w:top w:val="nil"/>
              <w:left w:val="single" w:sz="8" w:space="0" w:color="auto"/>
              <w:bottom w:val="single" w:sz="8"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Source: UCLAN</w:t>
            </w:r>
          </w:p>
        </w:tc>
        <w:tc>
          <w:tcPr>
            <w:tcW w:w="539" w:type="pct"/>
            <w:tcBorders>
              <w:top w:val="nil"/>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10"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1" w:type="pct"/>
            <w:vMerge/>
            <w:tcBorders>
              <w:top w:val="nil"/>
              <w:left w:val="single" w:sz="8" w:space="0" w:color="auto"/>
              <w:bottom w:val="single" w:sz="8" w:space="0" w:color="000000"/>
              <w:right w:val="single" w:sz="8"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r>
      <w:tr w:rsidR="00BD532C" w:rsidTr="00F817F1">
        <w:trPr>
          <w:trHeight w:val="300"/>
        </w:trPr>
        <w:tc>
          <w:tcPr>
            <w:tcW w:w="1304" w:type="pct"/>
            <w:vMerge w:val="restart"/>
            <w:tcBorders>
              <w:top w:val="nil"/>
              <w:left w:val="single" w:sz="8" w:space="0" w:color="auto"/>
              <w:bottom w:val="nil"/>
              <w:right w:val="single" w:sz="4" w:space="0" w:color="auto"/>
            </w:tcBorders>
            <w:shd w:val="clear" w:color="auto" w:fill="auto"/>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xml:space="preserve">6. New students choosing STEM and construction undergraduate degree subjects at </w:t>
            </w:r>
            <w:proofErr w:type="spellStart"/>
            <w:r w:rsidRPr="003535D5">
              <w:rPr>
                <w:rFonts w:eastAsia="Times New Roman"/>
                <w:b/>
                <w:bCs/>
                <w:sz w:val="16"/>
                <w:szCs w:val="16"/>
              </w:rPr>
              <w:t>UCLan</w:t>
            </w:r>
            <w:proofErr w:type="spellEnd"/>
          </w:p>
        </w:tc>
        <w:tc>
          <w:tcPr>
            <w:tcW w:w="539" w:type="pct"/>
            <w:tcBorders>
              <w:top w:val="single" w:sz="4" w:space="0" w:color="auto"/>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2.0%</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45%</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2.0%</w:t>
            </w:r>
          </w:p>
        </w:tc>
        <w:tc>
          <w:tcPr>
            <w:tcW w:w="461" w:type="pct"/>
            <w:vMerge w:val="restart"/>
            <w:tcBorders>
              <w:top w:val="nil"/>
              <w:left w:val="single" w:sz="8"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2016/17 is the latest data available</w:t>
            </w:r>
          </w:p>
        </w:tc>
      </w:tr>
      <w:tr w:rsidR="00BD532C" w:rsidTr="00F817F1">
        <w:trPr>
          <w:trHeight w:val="300"/>
        </w:trPr>
        <w:tc>
          <w:tcPr>
            <w:tcW w:w="1304" w:type="pct"/>
            <w:vMerge/>
            <w:tcBorders>
              <w:top w:val="nil"/>
              <w:left w:val="single" w:sz="8" w:space="0" w:color="auto"/>
              <w:bottom w:val="nil"/>
              <w:right w:val="single" w:sz="4" w:space="0" w:color="auto"/>
            </w:tcBorders>
            <w:vAlign w:val="center"/>
            <w:hideMark/>
          </w:tcPr>
          <w:p w:rsidR="00BD532C" w:rsidRPr="003535D5" w:rsidRDefault="00BD532C" w:rsidP="00F817F1">
            <w:pPr>
              <w:spacing w:after="0" w:line="240" w:lineRule="auto"/>
              <w:ind w:left="0" w:firstLine="0"/>
              <w:rPr>
                <w:rFonts w:eastAsia="Times New Roman"/>
                <w:b/>
                <w:bCs/>
                <w:sz w:val="16"/>
                <w:szCs w:val="16"/>
              </w:rPr>
            </w:pPr>
          </w:p>
        </w:tc>
        <w:tc>
          <w:tcPr>
            <w:tcW w:w="539" w:type="pct"/>
            <w:tcBorders>
              <w:top w:val="nil"/>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1" w:type="pct"/>
            <w:vMerge/>
            <w:tcBorders>
              <w:top w:val="nil"/>
              <w:left w:val="single" w:sz="8" w:space="0" w:color="auto"/>
              <w:bottom w:val="nil"/>
              <w:right w:val="single" w:sz="8"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r>
      <w:tr w:rsidR="00BD532C" w:rsidTr="00F817F1">
        <w:trPr>
          <w:trHeight w:val="30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539" w:type="pct"/>
            <w:tcBorders>
              <w:top w:val="nil"/>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1,359</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1,431</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1,988</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2,146</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2,189</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3,120</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3182</w:t>
            </w:r>
          </w:p>
        </w:tc>
        <w:tc>
          <w:tcPr>
            <w:tcW w:w="461" w:type="pct"/>
            <w:vMerge/>
            <w:tcBorders>
              <w:top w:val="nil"/>
              <w:left w:val="single" w:sz="8" w:space="0" w:color="auto"/>
              <w:bottom w:val="nil"/>
              <w:right w:val="single" w:sz="8"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r>
      <w:tr w:rsidR="00BD532C" w:rsidTr="00F817F1">
        <w:trPr>
          <w:trHeight w:val="315"/>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Source: UCLAN</w:t>
            </w:r>
          </w:p>
        </w:tc>
        <w:tc>
          <w:tcPr>
            <w:tcW w:w="539" w:type="pct"/>
            <w:tcBorders>
              <w:top w:val="nil"/>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1" w:type="pct"/>
            <w:vMerge/>
            <w:tcBorders>
              <w:top w:val="nil"/>
              <w:left w:val="single" w:sz="8" w:space="0" w:color="auto"/>
              <w:bottom w:val="nil"/>
              <w:right w:val="single" w:sz="8"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r>
      <w:tr w:rsidR="00BD532C" w:rsidTr="00F817F1">
        <w:trPr>
          <w:trHeight w:val="450"/>
        </w:trPr>
        <w:tc>
          <w:tcPr>
            <w:tcW w:w="1304" w:type="pct"/>
            <w:tcBorders>
              <w:top w:val="single" w:sz="8" w:space="0" w:color="auto"/>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xml:space="preserve">7. Job Seekers Allowance (JSA) and Universal Credit (UC) claimants </w:t>
            </w:r>
          </w:p>
        </w:tc>
        <w:tc>
          <w:tcPr>
            <w:tcW w:w="539" w:type="pct"/>
            <w:tcBorders>
              <w:top w:val="single" w:sz="4" w:space="0" w:color="auto"/>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Apr-13</w:t>
            </w:r>
          </w:p>
        </w:tc>
        <w:tc>
          <w:tcPr>
            <w:tcW w:w="462" w:type="pct"/>
            <w:tcBorders>
              <w:top w:val="single" w:sz="8" w:space="0" w:color="auto"/>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Apr-14</w:t>
            </w:r>
          </w:p>
        </w:tc>
        <w:tc>
          <w:tcPr>
            <w:tcW w:w="462" w:type="pct"/>
            <w:tcBorders>
              <w:top w:val="single" w:sz="8" w:space="0" w:color="auto"/>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Apr-15</w:t>
            </w:r>
          </w:p>
        </w:tc>
        <w:tc>
          <w:tcPr>
            <w:tcW w:w="462" w:type="pct"/>
            <w:tcBorders>
              <w:top w:val="single" w:sz="8" w:space="0" w:color="auto"/>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Apr-16</w:t>
            </w:r>
          </w:p>
        </w:tc>
        <w:tc>
          <w:tcPr>
            <w:tcW w:w="438" w:type="pct"/>
            <w:tcBorders>
              <w:top w:val="single" w:sz="8" w:space="0" w:color="auto"/>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10" w:type="pct"/>
            <w:tcBorders>
              <w:top w:val="single" w:sz="8" w:space="0" w:color="auto"/>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Apr-17</w:t>
            </w:r>
          </w:p>
        </w:tc>
        <w:tc>
          <w:tcPr>
            <w:tcW w:w="462" w:type="pct"/>
            <w:tcBorders>
              <w:top w:val="single" w:sz="8" w:space="0" w:color="auto"/>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61" w:type="pct"/>
            <w:tcBorders>
              <w:top w:val="single" w:sz="8" w:space="0" w:color="auto"/>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Apr-18</w:t>
            </w:r>
          </w:p>
        </w:tc>
      </w:tr>
      <w:tr w:rsidR="00BD532C" w:rsidTr="00F817F1">
        <w:trPr>
          <w:trHeight w:val="30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i/>
                <w:iCs/>
                <w:sz w:val="16"/>
                <w:szCs w:val="16"/>
              </w:rPr>
            </w:pPr>
            <w:r w:rsidRPr="003535D5">
              <w:rPr>
                <w:rFonts w:eastAsia="Times New Roman"/>
                <w:i/>
                <w:iCs/>
                <w:sz w:val="16"/>
                <w:szCs w:val="16"/>
              </w:rPr>
              <w:t>Percentage Change</w:t>
            </w:r>
          </w:p>
        </w:tc>
        <w:tc>
          <w:tcPr>
            <w:tcW w:w="539" w:type="pct"/>
            <w:tcBorders>
              <w:top w:val="nil"/>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-23%</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-23%</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2%</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9%</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w:t>
            </w:r>
          </w:p>
        </w:tc>
        <w:tc>
          <w:tcPr>
            <w:tcW w:w="461"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sz w:val="16"/>
                <w:szCs w:val="16"/>
              </w:rPr>
            </w:pPr>
            <w:r w:rsidRPr="003535D5">
              <w:rPr>
                <w:rFonts w:eastAsia="Times New Roman"/>
                <w:sz w:val="16"/>
                <w:szCs w:val="16"/>
              </w:rPr>
              <w:t>5%</w:t>
            </w:r>
          </w:p>
        </w:tc>
      </w:tr>
      <w:tr w:rsidR="00BD532C" w:rsidTr="00F817F1">
        <w:trPr>
          <w:trHeight w:val="675"/>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xml:space="preserve">A reduction in the overall numbers of active job seekers, who are receiving JSA and UC claimants in Preston and South </w:t>
            </w:r>
            <w:proofErr w:type="spellStart"/>
            <w:r w:rsidRPr="003535D5">
              <w:rPr>
                <w:rFonts w:eastAsia="Times New Roman"/>
                <w:sz w:val="16"/>
                <w:szCs w:val="16"/>
              </w:rPr>
              <w:t>Ribble</w:t>
            </w:r>
            <w:proofErr w:type="spellEnd"/>
            <w:r w:rsidRPr="003535D5">
              <w:rPr>
                <w:rFonts w:eastAsia="Times New Roman"/>
                <w:sz w:val="16"/>
                <w:szCs w:val="16"/>
              </w:rPr>
              <w:t>.</w:t>
            </w:r>
          </w:p>
        </w:tc>
        <w:tc>
          <w:tcPr>
            <w:tcW w:w="539" w:type="pct"/>
            <w:tcBorders>
              <w:top w:val="nil"/>
              <w:left w:val="single" w:sz="4"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4,803</w:t>
            </w: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3,705</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2,855</w:t>
            </w:r>
          </w:p>
        </w:tc>
        <w:tc>
          <w:tcPr>
            <w:tcW w:w="462"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2,900</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n/a</w:t>
            </w:r>
          </w:p>
        </w:tc>
        <w:tc>
          <w:tcPr>
            <w:tcW w:w="410"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3,175</w:t>
            </w:r>
          </w:p>
        </w:tc>
        <w:tc>
          <w:tcPr>
            <w:tcW w:w="462"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n/a</w:t>
            </w:r>
          </w:p>
        </w:tc>
        <w:tc>
          <w:tcPr>
            <w:tcW w:w="461"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jc w:val="right"/>
              <w:rPr>
                <w:rFonts w:eastAsia="Times New Roman"/>
                <w:b/>
                <w:bCs/>
                <w:sz w:val="16"/>
                <w:szCs w:val="16"/>
              </w:rPr>
            </w:pPr>
            <w:r w:rsidRPr="003535D5">
              <w:rPr>
                <w:rFonts w:eastAsia="Times New Roman"/>
                <w:b/>
                <w:bCs/>
                <w:sz w:val="16"/>
                <w:szCs w:val="16"/>
              </w:rPr>
              <w:t>3,325</w:t>
            </w:r>
          </w:p>
        </w:tc>
      </w:tr>
      <w:tr w:rsidR="00BD532C" w:rsidTr="00F817F1">
        <w:trPr>
          <w:trHeight w:val="315"/>
        </w:trPr>
        <w:tc>
          <w:tcPr>
            <w:tcW w:w="1304" w:type="pct"/>
            <w:tcBorders>
              <w:top w:val="nil"/>
              <w:left w:val="single" w:sz="8" w:space="0" w:color="auto"/>
              <w:bottom w:val="single" w:sz="8"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Source: NOMIS</w:t>
            </w:r>
          </w:p>
        </w:tc>
        <w:tc>
          <w:tcPr>
            <w:tcW w:w="539" w:type="pct"/>
            <w:tcBorders>
              <w:top w:val="nil"/>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62" w:type="pct"/>
            <w:tcBorders>
              <w:top w:val="nil"/>
              <w:left w:val="single" w:sz="4" w:space="0" w:color="auto"/>
              <w:bottom w:val="single" w:sz="4"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62" w:type="pct"/>
            <w:tcBorders>
              <w:top w:val="nil"/>
              <w:left w:val="nil"/>
              <w:bottom w:val="single" w:sz="4"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62"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38" w:type="pct"/>
            <w:tcBorders>
              <w:top w:val="nil"/>
              <w:left w:val="nil"/>
              <w:bottom w:val="single" w:sz="8" w:space="0" w:color="auto"/>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10"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c>
          <w:tcPr>
            <w:tcW w:w="462" w:type="pct"/>
            <w:tcBorders>
              <w:top w:val="nil"/>
              <w:left w:val="nil"/>
              <w:bottom w:val="single" w:sz="8" w:space="0" w:color="auto"/>
              <w:right w:val="single" w:sz="8" w:space="0" w:color="auto"/>
            </w:tcBorders>
            <w:shd w:val="clear" w:color="000000" w:fill="F2F2F2"/>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 </w:t>
            </w:r>
          </w:p>
        </w:tc>
        <w:tc>
          <w:tcPr>
            <w:tcW w:w="461" w:type="pct"/>
            <w:tcBorders>
              <w:top w:val="nil"/>
              <w:left w:val="nil"/>
              <w:bottom w:val="single" w:sz="8" w:space="0" w:color="auto"/>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 </w:t>
            </w:r>
          </w:p>
        </w:tc>
      </w:tr>
      <w:tr w:rsidR="00BD532C" w:rsidTr="00F817F1">
        <w:trPr>
          <w:trHeight w:val="45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8. Number of interventions/ activities promoting City Deal and construction career opportunities with:</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Not available</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Not available</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Not available</w:t>
            </w:r>
          </w:p>
        </w:tc>
        <w:tc>
          <w:tcPr>
            <w:tcW w:w="462" w:type="pct"/>
            <w:tcBorders>
              <w:top w:val="nil"/>
              <w:left w:val="single" w:sz="4" w:space="0" w:color="auto"/>
              <w:bottom w:val="nil"/>
              <w:right w:val="single" w:sz="8" w:space="0" w:color="auto"/>
            </w:tcBorders>
            <w:shd w:val="clear" w:color="auto" w:fill="auto"/>
            <w:noWrap/>
            <w:vAlign w:val="bottom"/>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 </w:t>
            </w:r>
          </w:p>
        </w:tc>
        <w:tc>
          <w:tcPr>
            <w:tcW w:w="438" w:type="pct"/>
            <w:tcBorders>
              <w:top w:val="nil"/>
              <w:left w:val="nil"/>
              <w:bottom w:val="nil"/>
              <w:right w:val="single" w:sz="8" w:space="0" w:color="auto"/>
            </w:tcBorders>
            <w:shd w:val="clear" w:color="000000" w:fill="F2F2F2"/>
            <w:noWrap/>
            <w:vAlign w:val="bottom"/>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 </w:t>
            </w:r>
          </w:p>
        </w:tc>
        <w:tc>
          <w:tcPr>
            <w:tcW w:w="410" w:type="pct"/>
            <w:tcBorders>
              <w:top w:val="nil"/>
              <w:left w:val="nil"/>
              <w:bottom w:val="nil"/>
              <w:right w:val="nil"/>
            </w:tcBorders>
            <w:shd w:val="clear" w:color="auto" w:fill="auto"/>
            <w:noWrap/>
            <w:vAlign w:val="bottom"/>
            <w:hideMark/>
          </w:tcPr>
          <w:p w:rsidR="00BD532C" w:rsidRPr="003535D5" w:rsidRDefault="00BD532C" w:rsidP="00F817F1">
            <w:pPr>
              <w:spacing w:after="0" w:line="240" w:lineRule="auto"/>
              <w:ind w:left="0" w:firstLine="0"/>
              <w:rPr>
                <w:rFonts w:ascii="Calibri" w:eastAsia="Times New Roman" w:hAnsi="Calibri" w:cs="Times New Roman"/>
                <w:sz w:val="16"/>
                <w:szCs w:val="16"/>
              </w:rPr>
            </w:pPr>
          </w:p>
        </w:tc>
        <w:tc>
          <w:tcPr>
            <w:tcW w:w="462" w:type="pct"/>
            <w:tcBorders>
              <w:top w:val="nil"/>
              <w:left w:val="single" w:sz="8" w:space="0" w:color="auto"/>
              <w:bottom w:val="nil"/>
              <w:right w:val="single" w:sz="8" w:space="0" w:color="auto"/>
            </w:tcBorders>
            <w:shd w:val="clear" w:color="000000" w:fill="F2F2F2"/>
            <w:noWrap/>
            <w:vAlign w:val="bottom"/>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 </w:t>
            </w:r>
          </w:p>
        </w:tc>
        <w:tc>
          <w:tcPr>
            <w:tcW w:w="461" w:type="pct"/>
            <w:tcBorders>
              <w:top w:val="nil"/>
              <w:left w:val="nil"/>
              <w:bottom w:val="nil"/>
              <w:right w:val="single" w:sz="8" w:space="0" w:color="auto"/>
            </w:tcBorders>
            <w:shd w:val="clear" w:color="auto" w:fill="auto"/>
            <w:noWrap/>
            <w:vAlign w:val="bottom"/>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 </w:t>
            </w:r>
          </w:p>
        </w:tc>
      </w:tr>
      <w:tr w:rsidR="00BD532C" w:rsidTr="00F817F1">
        <w:trPr>
          <w:trHeight w:val="30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A.</w:t>
            </w:r>
            <w:r w:rsidRPr="003535D5">
              <w:rPr>
                <w:rFonts w:ascii="Times New Roman" w:eastAsia="Times New Roman" w:hAnsi="Times New Roman" w:cs="Times New Roman"/>
                <w:sz w:val="16"/>
                <w:szCs w:val="16"/>
              </w:rPr>
              <w:t xml:space="preserve">    </w:t>
            </w:r>
            <w:r w:rsidRPr="003535D5">
              <w:rPr>
                <w:rFonts w:eastAsia="Times New Roman"/>
                <w:sz w:val="16"/>
                <w:szCs w:val="16"/>
              </w:rPr>
              <w:t xml:space="preserve">Young People, </w:t>
            </w:r>
          </w:p>
        </w:tc>
        <w:tc>
          <w:tcPr>
            <w:tcW w:w="539"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vMerge/>
            <w:tcBorders>
              <w:top w:val="nil"/>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A 660</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A 1500</w:t>
            </w:r>
          </w:p>
        </w:tc>
        <w:tc>
          <w:tcPr>
            <w:tcW w:w="410" w:type="pct"/>
            <w:tcBorders>
              <w:top w:val="nil"/>
              <w:left w:val="nil"/>
              <w:bottom w:val="nil"/>
              <w:right w:val="nil"/>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A 760</w:t>
            </w:r>
          </w:p>
        </w:tc>
        <w:tc>
          <w:tcPr>
            <w:tcW w:w="462" w:type="pct"/>
            <w:tcBorders>
              <w:top w:val="nil"/>
              <w:left w:val="single" w:sz="8" w:space="0" w:color="auto"/>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A 1500</w:t>
            </w:r>
          </w:p>
        </w:tc>
        <w:tc>
          <w:tcPr>
            <w:tcW w:w="461"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A 4048</w:t>
            </w:r>
          </w:p>
        </w:tc>
      </w:tr>
      <w:tr w:rsidR="00BD532C" w:rsidTr="00F817F1">
        <w:trPr>
          <w:trHeight w:val="30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B.</w:t>
            </w:r>
            <w:r w:rsidRPr="003535D5">
              <w:rPr>
                <w:rFonts w:ascii="Times New Roman" w:eastAsia="Times New Roman" w:hAnsi="Times New Roman" w:cs="Times New Roman"/>
                <w:sz w:val="16"/>
                <w:szCs w:val="16"/>
              </w:rPr>
              <w:t xml:space="preserve">    </w:t>
            </w:r>
            <w:r w:rsidRPr="003535D5">
              <w:rPr>
                <w:rFonts w:eastAsia="Times New Roman"/>
                <w:sz w:val="16"/>
                <w:szCs w:val="16"/>
              </w:rPr>
              <w:t>Teachers/IAG practitioners,</w:t>
            </w:r>
          </w:p>
        </w:tc>
        <w:tc>
          <w:tcPr>
            <w:tcW w:w="539"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vMerge/>
            <w:tcBorders>
              <w:top w:val="nil"/>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B 150</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B 300</w:t>
            </w:r>
          </w:p>
        </w:tc>
        <w:tc>
          <w:tcPr>
            <w:tcW w:w="410" w:type="pct"/>
            <w:tcBorders>
              <w:top w:val="nil"/>
              <w:left w:val="nil"/>
              <w:bottom w:val="nil"/>
              <w:right w:val="nil"/>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B 161</w:t>
            </w:r>
          </w:p>
        </w:tc>
        <w:tc>
          <w:tcPr>
            <w:tcW w:w="462" w:type="pct"/>
            <w:tcBorders>
              <w:top w:val="nil"/>
              <w:left w:val="single" w:sz="8" w:space="0" w:color="auto"/>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B 300</w:t>
            </w:r>
          </w:p>
        </w:tc>
        <w:tc>
          <w:tcPr>
            <w:tcW w:w="461"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B 133</w:t>
            </w:r>
          </w:p>
        </w:tc>
      </w:tr>
      <w:tr w:rsidR="00BD532C" w:rsidTr="00F817F1">
        <w:trPr>
          <w:trHeight w:val="30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C.</w:t>
            </w:r>
            <w:r w:rsidRPr="003535D5">
              <w:rPr>
                <w:rFonts w:ascii="Times New Roman" w:eastAsia="Times New Roman" w:hAnsi="Times New Roman" w:cs="Times New Roman"/>
                <w:sz w:val="16"/>
                <w:szCs w:val="16"/>
              </w:rPr>
              <w:t xml:space="preserve">    </w:t>
            </w:r>
            <w:r w:rsidRPr="003535D5">
              <w:rPr>
                <w:rFonts w:eastAsia="Times New Roman"/>
                <w:sz w:val="16"/>
                <w:szCs w:val="16"/>
              </w:rPr>
              <w:t>Parents, and</w:t>
            </w:r>
          </w:p>
        </w:tc>
        <w:tc>
          <w:tcPr>
            <w:tcW w:w="539"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vMerge/>
            <w:tcBorders>
              <w:top w:val="nil"/>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C 100</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C 200</w:t>
            </w:r>
          </w:p>
        </w:tc>
        <w:tc>
          <w:tcPr>
            <w:tcW w:w="410" w:type="pct"/>
            <w:tcBorders>
              <w:top w:val="nil"/>
              <w:left w:val="nil"/>
              <w:bottom w:val="nil"/>
              <w:right w:val="nil"/>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C 262</w:t>
            </w:r>
          </w:p>
        </w:tc>
        <w:tc>
          <w:tcPr>
            <w:tcW w:w="462" w:type="pct"/>
            <w:tcBorders>
              <w:top w:val="nil"/>
              <w:left w:val="single" w:sz="8" w:space="0" w:color="auto"/>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C 200</w:t>
            </w:r>
          </w:p>
        </w:tc>
        <w:tc>
          <w:tcPr>
            <w:tcW w:w="461"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C 471</w:t>
            </w:r>
          </w:p>
        </w:tc>
      </w:tr>
      <w:tr w:rsidR="00BD532C" w:rsidTr="00F817F1">
        <w:trPr>
          <w:trHeight w:val="300"/>
        </w:trPr>
        <w:tc>
          <w:tcPr>
            <w:tcW w:w="1304" w:type="pct"/>
            <w:tcBorders>
              <w:top w:val="nil"/>
              <w:left w:val="single" w:sz="8" w:space="0" w:color="auto"/>
              <w:bottom w:val="nil"/>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D.</w:t>
            </w:r>
            <w:r w:rsidRPr="003535D5">
              <w:rPr>
                <w:rFonts w:ascii="Times New Roman" w:eastAsia="Times New Roman" w:hAnsi="Times New Roman" w:cs="Times New Roman"/>
                <w:sz w:val="16"/>
                <w:szCs w:val="16"/>
              </w:rPr>
              <w:t xml:space="preserve">    </w:t>
            </w:r>
            <w:r w:rsidRPr="003535D5">
              <w:rPr>
                <w:rFonts w:eastAsia="Times New Roman"/>
                <w:sz w:val="16"/>
                <w:szCs w:val="16"/>
              </w:rPr>
              <w:t>Education Institutions</w:t>
            </w:r>
          </w:p>
        </w:tc>
        <w:tc>
          <w:tcPr>
            <w:tcW w:w="539"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vMerge/>
            <w:tcBorders>
              <w:top w:val="nil"/>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tcBorders>
              <w:top w:val="nil"/>
              <w:left w:val="single" w:sz="4" w:space="0" w:color="auto"/>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D 70</w:t>
            </w:r>
          </w:p>
        </w:tc>
        <w:tc>
          <w:tcPr>
            <w:tcW w:w="438" w:type="pct"/>
            <w:tcBorders>
              <w:top w:val="nil"/>
              <w:left w:val="nil"/>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D 200</w:t>
            </w:r>
          </w:p>
        </w:tc>
        <w:tc>
          <w:tcPr>
            <w:tcW w:w="410" w:type="pct"/>
            <w:tcBorders>
              <w:top w:val="nil"/>
              <w:left w:val="nil"/>
              <w:bottom w:val="nil"/>
              <w:right w:val="nil"/>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D 105</w:t>
            </w:r>
          </w:p>
        </w:tc>
        <w:tc>
          <w:tcPr>
            <w:tcW w:w="462" w:type="pct"/>
            <w:tcBorders>
              <w:top w:val="nil"/>
              <w:left w:val="single" w:sz="8" w:space="0" w:color="auto"/>
              <w:bottom w:val="nil"/>
              <w:right w:val="single" w:sz="8" w:space="0" w:color="auto"/>
            </w:tcBorders>
            <w:shd w:val="clear" w:color="000000" w:fill="F2F2F2"/>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D 200</w:t>
            </w:r>
          </w:p>
        </w:tc>
        <w:tc>
          <w:tcPr>
            <w:tcW w:w="461" w:type="pct"/>
            <w:tcBorders>
              <w:top w:val="nil"/>
              <w:left w:val="nil"/>
              <w:bottom w:val="nil"/>
              <w:right w:val="single" w:sz="8"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b/>
                <w:bCs/>
                <w:sz w:val="16"/>
                <w:szCs w:val="16"/>
              </w:rPr>
            </w:pPr>
            <w:r w:rsidRPr="003535D5">
              <w:rPr>
                <w:rFonts w:eastAsia="Times New Roman"/>
                <w:b/>
                <w:bCs/>
                <w:sz w:val="16"/>
                <w:szCs w:val="16"/>
              </w:rPr>
              <w:t>D 336</w:t>
            </w:r>
          </w:p>
        </w:tc>
      </w:tr>
      <w:tr w:rsidR="00BD532C" w:rsidTr="00F817F1">
        <w:trPr>
          <w:trHeight w:val="315"/>
        </w:trPr>
        <w:tc>
          <w:tcPr>
            <w:tcW w:w="1304" w:type="pct"/>
            <w:tcBorders>
              <w:top w:val="nil"/>
              <w:left w:val="single" w:sz="8" w:space="0" w:color="auto"/>
              <w:bottom w:val="single" w:sz="8"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r w:rsidRPr="003535D5">
              <w:rPr>
                <w:rFonts w:eastAsia="Times New Roman"/>
                <w:sz w:val="16"/>
                <w:szCs w:val="16"/>
              </w:rPr>
              <w:t xml:space="preserve">Source:  Preston's College, Future U, </w:t>
            </w:r>
            <w:proofErr w:type="spellStart"/>
            <w:r w:rsidRPr="003535D5">
              <w:rPr>
                <w:rFonts w:eastAsia="Times New Roman"/>
                <w:sz w:val="16"/>
                <w:szCs w:val="16"/>
              </w:rPr>
              <w:t>STEMFirst</w:t>
            </w:r>
            <w:proofErr w:type="spellEnd"/>
            <w:r w:rsidRPr="003535D5">
              <w:rPr>
                <w:rFonts w:eastAsia="Times New Roman"/>
                <w:sz w:val="16"/>
                <w:szCs w:val="16"/>
              </w:rPr>
              <w:t xml:space="preserve"> and UCLAN</w:t>
            </w:r>
          </w:p>
        </w:tc>
        <w:tc>
          <w:tcPr>
            <w:tcW w:w="539"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vMerge/>
            <w:tcBorders>
              <w:top w:val="nil"/>
              <w:left w:val="single" w:sz="4" w:space="0" w:color="auto"/>
              <w:bottom w:val="single" w:sz="4" w:space="0" w:color="auto"/>
              <w:right w:val="single" w:sz="4" w:space="0" w:color="auto"/>
            </w:tcBorders>
            <w:shd w:val="clear" w:color="auto" w:fill="auto"/>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vMerge/>
            <w:tcBorders>
              <w:top w:val="nil"/>
              <w:left w:val="single" w:sz="4" w:space="0" w:color="auto"/>
              <w:bottom w:val="single" w:sz="4" w:space="0" w:color="auto"/>
              <w:right w:val="single" w:sz="4" w:space="0" w:color="auto"/>
            </w:tcBorders>
            <w:vAlign w:val="center"/>
            <w:hideMark/>
          </w:tcPr>
          <w:p w:rsidR="00BD532C" w:rsidRPr="003535D5" w:rsidRDefault="00BD532C" w:rsidP="00F817F1">
            <w:pPr>
              <w:spacing w:after="0" w:line="240" w:lineRule="auto"/>
              <w:ind w:left="0" w:firstLine="0"/>
              <w:rPr>
                <w:rFonts w:eastAsia="Times New Roman"/>
                <w:sz w:val="16"/>
                <w:szCs w:val="16"/>
              </w:rPr>
            </w:pPr>
          </w:p>
        </w:tc>
        <w:tc>
          <w:tcPr>
            <w:tcW w:w="462" w:type="pct"/>
            <w:tcBorders>
              <w:top w:val="nil"/>
              <w:left w:val="single" w:sz="4" w:space="0" w:color="auto"/>
              <w:bottom w:val="single" w:sz="8" w:space="0" w:color="auto"/>
              <w:right w:val="single" w:sz="8" w:space="0" w:color="auto"/>
            </w:tcBorders>
            <w:shd w:val="clear" w:color="auto" w:fill="auto"/>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 </w:t>
            </w:r>
          </w:p>
        </w:tc>
        <w:tc>
          <w:tcPr>
            <w:tcW w:w="438" w:type="pct"/>
            <w:tcBorders>
              <w:top w:val="nil"/>
              <w:left w:val="nil"/>
              <w:bottom w:val="single" w:sz="8" w:space="0" w:color="auto"/>
              <w:right w:val="single" w:sz="8" w:space="0" w:color="auto"/>
            </w:tcBorders>
            <w:shd w:val="clear" w:color="000000" w:fill="F2F2F2"/>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 </w:t>
            </w:r>
          </w:p>
        </w:tc>
        <w:tc>
          <w:tcPr>
            <w:tcW w:w="410" w:type="pct"/>
            <w:tcBorders>
              <w:top w:val="nil"/>
              <w:left w:val="nil"/>
              <w:bottom w:val="single" w:sz="8" w:space="0" w:color="auto"/>
              <w:right w:val="nil"/>
            </w:tcBorders>
            <w:shd w:val="clear" w:color="auto" w:fill="auto"/>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 </w:t>
            </w:r>
          </w:p>
        </w:tc>
        <w:tc>
          <w:tcPr>
            <w:tcW w:w="462" w:type="pct"/>
            <w:tcBorders>
              <w:top w:val="nil"/>
              <w:left w:val="single" w:sz="8" w:space="0" w:color="auto"/>
              <w:bottom w:val="single" w:sz="8" w:space="0" w:color="auto"/>
              <w:right w:val="single" w:sz="8" w:space="0" w:color="auto"/>
            </w:tcBorders>
            <w:shd w:val="clear" w:color="000000" w:fill="F2F2F2"/>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 </w:t>
            </w:r>
          </w:p>
        </w:tc>
        <w:tc>
          <w:tcPr>
            <w:tcW w:w="461" w:type="pct"/>
            <w:tcBorders>
              <w:top w:val="nil"/>
              <w:left w:val="nil"/>
              <w:bottom w:val="single" w:sz="8" w:space="0" w:color="auto"/>
              <w:right w:val="single" w:sz="8" w:space="0" w:color="auto"/>
            </w:tcBorders>
            <w:shd w:val="clear" w:color="auto" w:fill="auto"/>
            <w:hideMark/>
          </w:tcPr>
          <w:p w:rsidR="00BD532C" w:rsidRPr="003535D5" w:rsidRDefault="00BD532C" w:rsidP="00F817F1">
            <w:pPr>
              <w:spacing w:after="0" w:line="240" w:lineRule="auto"/>
              <w:ind w:left="0" w:firstLine="0"/>
              <w:rPr>
                <w:rFonts w:ascii="Calibri" w:eastAsia="Times New Roman" w:hAnsi="Calibri" w:cs="Times New Roman"/>
                <w:sz w:val="16"/>
                <w:szCs w:val="16"/>
              </w:rPr>
            </w:pPr>
            <w:r w:rsidRPr="003535D5">
              <w:rPr>
                <w:rFonts w:ascii="Calibri" w:eastAsia="Times New Roman" w:hAnsi="Calibri" w:cs="Times New Roman"/>
                <w:sz w:val="16"/>
                <w:szCs w:val="16"/>
              </w:rPr>
              <w:t> </w:t>
            </w:r>
          </w:p>
        </w:tc>
      </w:tr>
    </w:tbl>
    <w:p w:rsidR="00BD532C" w:rsidRPr="003535D5" w:rsidRDefault="00BD532C" w:rsidP="00BD532C">
      <w:pPr>
        <w:spacing w:after="160" w:line="259" w:lineRule="auto"/>
        <w:ind w:left="284" w:hanging="426"/>
        <w:rPr>
          <w:rFonts w:eastAsiaTheme="minorHAnsi"/>
          <w:b/>
          <w:color w:val="auto"/>
          <w:lang w:eastAsia="en-US"/>
        </w:rPr>
      </w:pPr>
    </w:p>
    <w:p w:rsidR="00BD532C" w:rsidRPr="003535D5" w:rsidRDefault="00BD532C" w:rsidP="00BD532C">
      <w:pPr>
        <w:spacing w:after="160" w:line="360" w:lineRule="auto"/>
        <w:ind w:left="0" w:firstLine="0"/>
        <w:rPr>
          <w:rFonts w:asciiTheme="minorHAnsi" w:eastAsiaTheme="minorHAnsi" w:hAnsiTheme="minorHAnsi" w:cstheme="minorBidi"/>
          <w:color w:val="auto"/>
          <w:sz w:val="22"/>
          <w:szCs w:val="22"/>
          <w:lang w:eastAsia="en-US"/>
        </w:rPr>
      </w:pPr>
      <w:r w:rsidRPr="003535D5">
        <w:rPr>
          <w:rFonts w:eastAsiaTheme="minorHAnsi"/>
          <w:color w:val="auto"/>
          <w:sz w:val="22"/>
          <w:szCs w:val="22"/>
          <w:lang w:eastAsia="en-US"/>
        </w:rPr>
        <w:lastRenderedPageBreak/>
        <w:t>Details of supporting activities and a range of case studies are presented in the accompanying Skills and Employment dashboard.</w:t>
      </w:r>
    </w:p>
    <w:p w:rsidR="00BD532C" w:rsidRPr="003535D5" w:rsidRDefault="00BD532C" w:rsidP="00BD532C">
      <w:pPr>
        <w:spacing w:after="160" w:line="259" w:lineRule="auto"/>
        <w:ind w:left="0" w:firstLine="0"/>
        <w:rPr>
          <w:rFonts w:eastAsiaTheme="minorHAnsi"/>
          <w:b/>
          <w:color w:val="auto"/>
          <w:lang w:eastAsia="en-US"/>
        </w:rPr>
      </w:pPr>
      <w:r w:rsidRPr="003535D5">
        <w:rPr>
          <w:rFonts w:eastAsiaTheme="minorHAnsi"/>
          <w:b/>
          <w:color w:val="auto"/>
          <w:lang w:eastAsia="en-US"/>
        </w:rPr>
        <w:t xml:space="preserve">Table 2: Business support and associated jobs </w:t>
      </w:r>
    </w:p>
    <w:tbl>
      <w:tblPr>
        <w:tblStyle w:val="TableGrid"/>
        <w:tblW w:w="5000" w:type="pct"/>
        <w:tblLook w:val="04A0" w:firstRow="1" w:lastRow="0" w:firstColumn="1" w:lastColumn="0" w:noHBand="0" w:noVBand="1"/>
      </w:tblPr>
      <w:tblGrid>
        <w:gridCol w:w="6003"/>
        <w:gridCol w:w="1507"/>
        <w:gridCol w:w="1506"/>
      </w:tblGrid>
      <w:tr w:rsidR="00BD532C" w:rsidTr="00F817F1">
        <w:tc>
          <w:tcPr>
            <w:tcW w:w="3329" w:type="pct"/>
            <w:tcBorders>
              <w:top w:val="single" w:sz="4" w:space="0" w:color="auto"/>
              <w:left w:val="single" w:sz="4" w:space="0" w:color="auto"/>
              <w:bottom w:val="single" w:sz="4" w:space="0" w:color="auto"/>
              <w:right w:val="single" w:sz="4" w:space="0" w:color="auto"/>
            </w:tcBorders>
            <w:hideMark/>
          </w:tcPr>
          <w:p w:rsidR="00BD532C" w:rsidRPr="003535D5" w:rsidRDefault="00BD532C" w:rsidP="00F817F1">
            <w:pPr>
              <w:spacing w:after="0" w:line="240" w:lineRule="auto"/>
              <w:ind w:left="0" w:firstLine="0"/>
              <w:rPr>
                <w:rFonts w:eastAsiaTheme="minorHAnsi"/>
                <w:b/>
                <w:color w:val="auto"/>
                <w:lang w:eastAsia="en-US"/>
              </w:rPr>
            </w:pPr>
            <w:r w:rsidRPr="003535D5">
              <w:rPr>
                <w:rFonts w:eastAsiaTheme="minorHAnsi"/>
                <w:b/>
                <w:color w:val="auto"/>
                <w:lang w:eastAsia="en-US"/>
              </w:rPr>
              <w:t>Output</w:t>
            </w:r>
          </w:p>
        </w:tc>
        <w:tc>
          <w:tcPr>
            <w:tcW w:w="836" w:type="pct"/>
            <w:tcBorders>
              <w:top w:val="single" w:sz="4" w:space="0" w:color="auto"/>
              <w:left w:val="single" w:sz="4" w:space="0" w:color="auto"/>
              <w:bottom w:val="single" w:sz="4" w:space="0" w:color="auto"/>
              <w:right w:val="single" w:sz="4" w:space="0" w:color="auto"/>
            </w:tcBorders>
            <w:hideMark/>
          </w:tcPr>
          <w:p w:rsidR="00BD532C" w:rsidRPr="003535D5" w:rsidRDefault="00BD532C" w:rsidP="00F817F1">
            <w:pPr>
              <w:spacing w:after="0" w:line="240" w:lineRule="auto"/>
              <w:ind w:left="0" w:firstLine="0"/>
              <w:rPr>
                <w:rFonts w:eastAsiaTheme="minorHAnsi"/>
                <w:b/>
                <w:color w:val="auto"/>
                <w:lang w:eastAsia="en-US"/>
              </w:rPr>
            </w:pPr>
            <w:r w:rsidRPr="003535D5">
              <w:rPr>
                <w:rFonts w:eastAsiaTheme="minorHAnsi"/>
                <w:b/>
                <w:color w:val="auto"/>
                <w:lang w:eastAsia="en-US"/>
              </w:rPr>
              <w:t>2016/17</w:t>
            </w:r>
          </w:p>
        </w:tc>
        <w:tc>
          <w:tcPr>
            <w:tcW w:w="836" w:type="pct"/>
            <w:tcBorders>
              <w:top w:val="single" w:sz="4" w:space="0" w:color="auto"/>
              <w:left w:val="single" w:sz="4" w:space="0" w:color="auto"/>
              <w:bottom w:val="single" w:sz="4" w:space="0" w:color="auto"/>
              <w:right w:val="single" w:sz="4" w:space="0" w:color="auto"/>
            </w:tcBorders>
          </w:tcPr>
          <w:p w:rsidR="00BD532C" w:rsidRPr="003535D5" w:rsidRDefault="00BD532C" w:rsidP="00F817F1">
            <w:pPr>
              <w:spacing w:after="0" w:line="240" w:lineRule="auto"/>
              <w:ind w:left="0" w:firstLine="0"/>
              <w:rPr>
                <w:rFonts w:eastAsiaTheme="minorHAnsi"/>
                <w:b/>
                <w:color w:val="auto"/>
                <w:lang w:eastAsia="en-US"/>
              </w:rPr>
            </w:pPr>
            <w:r w:rsidRPr="003535D5">
              <w:rPr>
                <w:rFonts w:eastAsiaTheme="minorHAnsi"/>
                <w:b/>
                <w:color w:val="auto"/>
                <w:lang w:eastAsia="en-US"/>
              </w:rPr>
              <w:t>2017/18</w:t>
            </w:r>
          </w:p>
        </w:tc>
      </w:tr>
      <w:tr w:rsidR="00BD532C" w:rsidTr="00F817F1">
        <w:tc>
          <w:tcPr>
            <w:tcW w:w="3329" w:type="pct"/>
            <w:tcBorders>
              <w:top w:val="single" w:sz="4" w:space="0" w:color="auto"/>
              <w:left w:val="single" w:sz="4" w:space="0" w:color="auto"/>
              <w:bottom w:val="single" w:sz="4" w:space="0" w:color="auto"/>
              <w:right w:val="single" w:sz="4" w:space="0" w:color="auto"/>
            </w:tcBorders>
          </w:tcPr>
          <w:p w:rsidR="00BD532C" w:rsidRPr="003535D5" w:rsidRDefault="00BD532C" w:rsidP="00F817F1">
            <w:pPr>
              <w:spacing w:after="0" w:line="240" w:lineRule="auto"/>
              <w:ind w:left="0" w:firstLine="0"/>
              <w:rPr>
                <w:rFonts w:eastAsiaTheme="minorHAnsi"/>
                <w:color w:val="auto"/>
                <w:lang w:eastAsia="en-US"/>
              </w:rPr>
            </w:pPr>
            <w:r w:rsidRPr="003535D5">
              <w:rPr>
                <w:rFonts w:eastAsiaTheme="minorHAnsi"/>
                <w:color w:val="auto"/>
                <w:lang w:eastAsia="en-US"/>
              </w:rPr>
              <w:t>New businesses supported through BOOST</w:t>
            </w:r>
          </w:p>
          <w:p w:rsidR="00BD532C" w:rsidRPr="003535D5" w:rsidRDefault="00BD532C" w:rsidP="00F817F1">
            <w:pPr>
              <w:spacing w:after="0" w:line="240" w:lineRule="auto"/>
              <w:ind w:left="0" w:firstLine="0"/>
              <w:rPr>
                <w:rFonts w:eastAsiaTheme="minorHAnsi"/>
                <w:color w:val="auto"/>
                <w:lang w:eastAsia="en-US"/>
              </w:rPr>
            </w:pPr>
          </w:p>
        </w:tc>
        <w:tc>
          <w:tcPr>
            <w:tcW w:w="836" w:type="pct"/>
            <w:tcBorders>
              <w:top w:val="single" w:sz="4" w:space="0" w:color="auto"/>
              <w:left w:val="single" w:sz="4" w:space="0" w:color="auto"/>
              <w:bottom w:val="single" w:sz="4" w:space="0" w:color="auto"/>
              <w:right w:val="single" w:sz="4" w:space="0" w:color="auto"/>
            </w:tcBorders>
            <w:hideMark/>
          </w:tcPr>
          <w:p w:rsidR="00BD532C" w:rsidRPr="003535D5" w:rsidRDefault="00BD532C" w:rsidP="00F817F1">
            <w:pPr>
              <w:spacing w:after="0" w:line="240" w:lineRule="auto"/>
              <w:ind w:left="0" w:firstLine="0"/>
              <w:rPr>
                <w:rFonts w:eastAsiaTheme="minorHAnsi"/>
                <w:color w:val="auto"/>
                <w:lang w:eastAsia="en-US"/>
              </w:rPr>
            </w:pPr>
            <w:r w:rsidRPr="003535D5">
              <w:rPr>
                <w:rFonts w:eastAsiaTheme="minorHAnsi"/>
                <w:color w:val="auto"/>
                <w:lang w:eastAsia="en-US"/>
              </w:rPr>
              <w:t>95</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BD532C" w:rsidRPr="003535D5" w:rsidRDefault="00BD532C" w:rsidP="00F817F1">
            <w:pPr>
              <w:spacing w:after="0" w:line="240" w:lineRule="auto"/>
              <w:ind w:left="0" w:firstLine="0"/>
              <w:rPr>
                <w:rFonts w:eastAsiaTheme="minorHAnsi"/>
                <w:color w:val="auto"/>
                <w:lang w:eastAsia="en-US"/>
              </w:rPr>
            </w:pPr>
            <w:r w:rsidRPr="003535D5">
              <w:rPr>
                <w:rFonts w:eastAsiaTheme="minorHAnsi"/>
                <w:color w:val="auto"/>
                <w:lang w:eastAsia="en-US"/>
              </w:rPr>
              <w:t>187</w:t>
            </w:r>
          </w:p>
        </w:tc>
      </w:tr>
      <w:tr w:rsidR="00BD532C" w:rsidTr="00F817F1">
        <w:tc>
          <w:tcPr>
            <w:tcW w:w="3329" w:type="pct"/>
            <w:tcBorders>
              <w:top w:val="single" w:sz="4" w:space="0" w:color="auto"/>
              <w:left w:val="single" w:sz="4" w:space="0" w:color="auto"/>
              <w:bottom w:val="single" w:sz="4" w:space="0" w:color="auto"/>
              <w:right w:val="single" w:sz="4" w:space="0" w:color="auto"/>
            </w:tcBorders>
          </w:tcPr>
          <w:p w:rsidR="00BD532C" w:rsidRPr="003535D5" w:rsidRDefault="00BD532C" w:rsidP="00F817F1">
            <w:pPr>
              <w:spacing w:after="0" w:line="240" w:lineRule="auto"/>
              <w:ind w:left="0" w:firstLine="0"/>
              <w:rPr>
                <w:rFonts w:eastAsiaTheme="minorHAnsi"/>
                <w:color w:val="auto"/>
                <w:lang w:eastAsia="en-US"/>
              </w:rPr>
            </w:pPr>
            <w:r w:rsidRPr="003535D5">
              <w:rPr>
                <w:rFonts w:eastAsiaTheme="minorHAnsi"/>
                <w:color w:val="auto"/>
                <w:lang w:eastAsia="en-US"/>
              </w:rPr>
              <w:t xml:space="preserve">Jobs created through BOOST business support </w:t>
            </w:r>
          </w:p>
          <w:p w:rsidR="00BD532C" w:rsidRPr="003535D5" w:rsidRDefault="00BD532C" w:rsidP="00F817F1">
            <w:pPr>
              <w:spacing w:after="0" w:line="240" w:lineRule="auto"/>
              <w:ind w:left="0" w:firstLine="0"/>
              <w:rPr>
                <w:rFonts w:eastAsiaTheme="minorHAnsi"/>
                <w:color w:val="auto"/>
                <w:lang w:eastAsia="en-US"/>
              </w:rPr>
            </w:pPr>
          </w:p>
        </w:tc>
        <w:tc>
          <w:tcPr>
            <w:tcW w:w="836" w:type="pct"/>
            <w:tcBorders>
              <w:top w:val="single" w:sz="4" w:space="0" w:color="auto"/>
              <w:left w:val="single" w:sz="4" w:space="0" w:color="auto"/>
              <w:bottom w:val="single" w:sz="4" w:space="0" w:color="auto"/>
              <w:right w:val="single" w:sz="4" w:space="0" w:color="auto"/>
            </w:tcBorders>
            <w:hideMark/>
          </w:tcPr>
          <w:p w:rsidR="00BD532C" w:rsidRPr="003535D5" w:rsidRDefault="00BD532C" w:rsidP="00F817F1">
            <w:pPr>
              <w:spacing w:after="0" w:line="240" w:lineRule="auto"/>
              <w:ind w:left="0" w:firstLine="0"/>
              <w:rPr>
                <w:rFonts w:eastAsiaTheme="minorHAnsi"/>
                <w:color w:val="auto"/>
                <w:lang w:eastAsia="en-US"/>
              </w:rPr>
            </w:pPr>
            <w:r w:rsidRPr="003535D5">
              <w:rPr>
                <w:rFonts w:eastAsiaTheme="minorHAnsi"/>
                <w:color w:val="auto"/>
                <w:lang w:eastAsia="en-US"/>
              </w:rPr>
              <w:t>95</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BD532C" w:rsidRPr="003535D5" w:rsidRDefault="00BD532C" w:rsidP="00F817F1">
            <w:pPr>
              <w:spacing w:after="0" w:line="240" w:lineRule="auto"/>
              <w:ind w:left="0" w:firstLine="0"/>
              <w:rPr>
                <w:rFonts w:eastAsiaTheme="minorHAnsi"/>
                <w:color w:val="auto"/>
                <w:lang w:eastAsia="en-US"/>
              </w:rPr>
            </w:pPr>
            <w:r w:rsidRPr="003535D5">
              <w:rPr>
                <w:rFonts w:eastAsiaTheme="minorHAnsi"/>
                <w:color w:val="auto"/>
                <w:lang w:eastAsia="en-US"/>
              </w:rPr>
              <w:t>120</w:t>
            </w:r>
          </w:p>
        </w:tc>
      </w:tr>
    </w:tbl>
    <w:p w:rsidR="00BD532C" w:rsidRPr="003535D5" w:rsidRDefault="00BD532C" w:rsidP="00BD532C">
      <w:pPr>
        <w:spacing w:after="160" w:line="259" w:lineRule="auto"/>
        <w:ind w:left="0" w:firstLine="0"/>
        <w:rPr>
          <w:rFonts w:asciiTheme="minorHAnsi" w:eastAsiaTheme="minorHAnsi" w:hAnsiTheme="minorHAnsi" w:cstheme="minorBidi"/>
          <w:color w:val="auto"/>
          <w:sz w:val="20"/>
          <w:szCs w:val="20"/>
          <w:lang w:eastAsia="en-US"/>
        </w:rPr>
      </w:pPr>
      <w:r w:rsidRPr="003535D5">
        <w:rPr>
          <w:rFonts w:eastAsiaTheme="minorHAnsi"/>
          <w:color w:val="auto"/>
          <w:sz w:val="20"/>
          <w:szCs w:val="20"/>
          <w:lang w:eastAsia="en-US"/>
        </w:rPr>
        <w:t>Source: BOOST</w:t>
      </w:r>
    </w:p>
    <w:p w:rsidR="00154602" w:rsidRDefault="0082205E"/>
    <w:sectPr w:rsidR="00154602" w:rsidSect="0082205E">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5E" w:rsidRDefault="0082205E" w:rsidP="0082205E">
      <w:pPr>
        <w:spacing w:after="0" w:line="240" w:lineRule="auto"/>
      </w:pPr>
      <w:r>
        <w:separator/>
      </w:r>
    </w:p>
  </w:endnote>
  <w:endnote w:type="continuationSeparator" w:id="0">
    <w:p w:rsidR="0082205E" w:rsidRDefault="0082205E" w:rsidP="0082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5E" w:rsidRDefault="0082205E" w:rsidP="0082205E">
      <w:pPr>
        <w:spacing w:after="0" w:line="240" w:lineRule="auto"/>
      </w:pPr>
      <w:r>
        <w:separator/>
      </w:r>
    </w:p>
  </w:footnote>
  <w:footnote w:type="continuationSeparator" w:id="0">
    <w:p w:rsidR="0082205E" w:rsidRDefault="0082205E" w:rsidP="0082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5E" w:rsidRPr="0082205E" w:rsidRDefault="0082205E" w:rsidP="0082205E">
    <w:pPr>
      <w:pStyle w:val="Header"/>
      <w:jc w:val="right"/>
      <w:rPr>
        <w:b/>
        <w:sz w:val="36"/>
        <w:szCs w:val="36"/>
      </w:rPr>
    </w:pPr>
    <w:r>
      <w:rPr>
        <w:b/>
        <w:sz w:val="36"/>
        <w:szCs w:val="36"/>
      </w:rPr>
      <w:t>Appendix A</w:t>
    </w:r>
  </w:p>
  <w:p w:rsidR="0082205E" w:rsidRDefault="00822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803C3"/>
    <w:multiLevelType w:val="hybridMultilevel"/>
    <w:tmpl w:val="A404A9FE"/>
    <w:lvl w:ilvl="0" w:tplc="A5D0AD0C">
      <w:start w:val="1"/>
      <w:numFmt w:val="decimal"/>
      <w:lvlText w:val="%1.2"/>
      <w:lvlJc w:val="left"/>
      <w:pPr>
        <w:ind w:left="360" w:hanging="360"/>
      </w:pPr>
      <w:rPr>
        <w:rFonts w:hint="default"/>
        <w:b/>
      </w:rPr>
    </w:lvl>
    <w:lvl w:ilvl="1" w:tplc="21A4EC98" w:tentative="1">
      <w:start w:val="1"/>
      <w:numFmt w:val="lowerLetter"/>
      <w:lvlText w:val="%2."/>
      <w:lvlJc w:val="left"/>
      <w:pPr>
        <w:ind w:left="1080" w:hanging="360"/>
      </w:pPr>
    </w:lvl>
    <w:lvl w:ilvl="2" w:tplc="1AAC8E9E" w:tentative="1">
      <w:start w:val="1"/>
      <w:numFmt w:val="lowerRoman"/>
      <w:lvlText w:val="%3."/>
      <w:lvlJc w:val="right"/>
      <w:pPr>
        <w:ind w:left="1800" w:hanging="180"/>
      </w:pPr>
    </w:lvl>
    <w:lvl w:ilvl="3" w:tplc="D0EC7592" w:tentative="1">
      <w:start w:val="1"/>
      <w:numFmt w:val="decimal"/>
      <w:lvlText w:val="%4."/>
      <w:lvlJc w:val="left"/>
      <w:pPr>
        <w:ind w:left="2520" w:hanging="360"/>
      </w:pPr>
    </w:lvl>
    <w:lvl w:ilvl="4" w:tplc="BF629E64" w:tentative="1">
      <w:start w:val="1"/>
      <w:numFmt w:val="lowerLetter"/>
      <w:lvlText w:val="%5."/>
      <w:lvlJc w:val="left"/>
      <w:pPr>
        <w:ind w:left="3240" w:hanging="360"/>
      </w:pPr>
    </w:lvl>
    <w:lvl w:ilvl="5" w:tplc="02BC697A" w:tentative="1">
      <w:start w:val="1"/>
      <w:numFmt w:val="lowerRoman"/>
      <w:lvlText w:val="%6."/>
      <w:lvlJc w:val="right"/>
      <w:pPr>
        <w:ind w:left="3960" w:hanging="180"/>
      </w:pPr>
    </w:lvl>
    <w:lvl w:ilvl="6" w:tplc="0DB8BF74" w:tentative="1">
      <w:start w:val="1"/>
      <w:numFmt w:val="decimal"/>
      <w:lvlText w:val="%7."/>
      <w:lvlJc w:val="left"/>
      <w:pPr>
        <w:ind w:left="4680" w:hanging="360"/>
      </w:pPr>
    </w:lvl>
    <w:lvl w:ilvl="7" w:tplc="5BA8BE7C" w:tentative="1">
      <w:start w:val="1"/>
      <w:numFmt w:val="lowerLetter"/>
      <w:lvlText w:val="%8."/>
      <w:lvlJc w:val="left"/>
      <w:pPr>
        <w:ind w:left="5400" w:hanging="360"/>
      </w:pPr>
    </w:lvl>
    <w:lvl w:ilvl="8" w:tplc="23920642" w:tentative="1">
      <w:start w:val="1"/>
      <w:numFmt w:val="lowerRoman"/>
      <w:lvlText w:val="%9."/>
      <w:lvlJc w:val="right"/>
      <w:pPr>
        <w:ind w:left="6120" w:hanging="180"/>
      </w:pPr>
    </w:lvl>
  </w:abstractNum>
  <w:abstractNum w:abstractNumId="1" w15:restartNumberingAfterBreak="0">
    <w:nsid w:val="6A22616C"/>
    <w:multiLevelType w:val="hybridMultilevel"/>
    <w:tmpl w:val="BC5EDF7A"/>
    <w:lvl w:ilvl="0" w:tplc="41D62ACC">
      <w:start w:val="1"/>
      <w:numFmt w:val="bullet"/>
      <w:lvlText w:val=""/>
      <w:lvlJc w:val="left"/>
      <w:pPr>
        <w:ind w:left="360" w:hanging="360"/>
      </w:pPr>
      <w:rPr>
        <w:rFonts w:ascii="Symbol" w:hAnsi="Symbol" w:hint="default"/>
      </w:rPr>
    </w:lvl>
    <w:lvl w:ilvl="1" w:tplc="2048F122" w:tentative="1">
      <w:start w:val="1"/>
      <w:numFmt w:val="bullet"/>
      <w:lvlText w:val="o"/>
      <w:lvlJc w:val="left"/>
      <w:pPr>
        <w:ind w:left="1080" w:hanging="360"/>
      </w:pPr>
      <w:rPr>
        <w:rFonts w:ascii="Courier New" w:hAnsi="Courier New" w:cs="Courier New" w:hint="default"/>
      </w:rPr>
    </w:lvl>
    <w:lvl w:ilvl="2" w:tplc="26C49654" w:tentative="1">
      <w:start w:val="1"/>
      <w:numFmt w:val="bullet"/>
      <w:lvlText w:val=""/>
      <w:lvlJc w:val="left"/>
      <w:pPr>
        <w:ind w:left="1800" w:hanging="360"/>
      </w:pPr>
      <w:rPr>
        <w:rFonts w:ascii="Wingdings" w:hAnsi="Wingdings" w:hint="default"/>
      </w:rPr>
    </w:lvl>
    <w:lvl w:ilvl="3" w:tplc="83C80714" w:tentative="1">
      <w:start w:val="1"/>
      <w:numFmt w:val="bullet"/>
      <w:lvlText w:val=""/>
      <w:lvlJc w:val="left"/>
      <w:pPr>
        <w:ind w:left="2520" w:hanging="360"/>
      </w:pPr>
      <w:rPr>
        <w:rFonts w:ascii="Symbol" w:hAnsi="Symbol" w:hint="default"/>
      </w:rPr>
    </w:lvl>
    <w:lvl w:ilvl="4" w:tplc="F30CA3AA" w:tentative="1">
      <w:start w:val="1"/>
      <w:numFmt w:val="bullet"/>
      <w:lvlText w:val="o"/>
      <w:lvlJc w:val="left"/>
      <w:pPr>
        <w:ind w:left="3240" w:hanging="360"/>
      </w:pPr>
      <w:rPr>
        <w:rFonts w:ascii="Courier New" w:hAnsi="Courier New" w:cs="Courier New" w:hint="default"/>
      </w:rPr>
    </w:lvl>
    <w:lvl w:ilvl="5" w:tplc="5454B502" w:tentative="1">
      <w:start w:val="1"/>
      <w:numFmt w:val="bullet"/>
      <w:lvlText w:val=""/>
      <w:lvlJc w:val="left"/>
      <w:pPr>
        <w:ind w:left="3960" w:hanging="360"/>
      </w:pPr>
      <w:rPr>
        <w:rFonts w:ascii="Wingdings" w:hAnsi="Wingdings" w:hint="default"/>
      </w:rPr>
    </w:lvl>
    <w:lvl w:ilvl="6" w:tplc="7A2684C8" w:tentative="1">
      <w:start w:val="1"/>
      <w:numFmt w:val="bullet"/>
      <w:lvlText w:val=""/>
      <w:lvlJc w:val="left"/>
      <w:pPr>
        <w:ind w:left="4680" w:hanging="360"/>
      </w:pPr>
      <w:rPr>
        <w:rFonts w:ascii="Symbol" w:hAnsi="Symbol" w:hint="default"/>
      </w:rPr>
    </w:lvl>
    <w:lvl w:ilvl="7" w:tplc="62AA78BC" w:tentative="1">
      <w:start w:val="1"/>
      <w:numFmt w:val="bullet"/>
      <w:lvlText w:val="o"/>
      <w:lvlJc w:val="left"/>
      <w:pPr>
        <w:ind w:left="5400" w:hanging="360"/>
      </w:pPr>
      <w:rPr>
        <w:rFonts w:ascii="Courier New" w:hAnsi="Courier New" w:cs="Courier New" w:hint="default"/>
      </w:rPr>
    </w:lvl>
    <w:lvl w:ilvl="8" w:tplc="6712B900" w:tentative="1">
      <w:start w:val="1"/>
      <w:numFmt w:val="bullet"/>
      <w:lvlText w:val=""/>
      <w:lvlJc w:val="left"/>
      <w:pPr>
        <w:ind w:left="6120" w:hanging="360"/>
      </w:pPr>
      <w:rPr>
        <w:rFonts w:ascii="Wingdings" w:hAnsi="Wingdings" w:hint="default"/>
      </w:rPr>
    </w:lvl>
  </w:abstractNum>
  <w:abstractNum w:abstractNumId="2" w15:restartNumberingAfterBreak="0">
    <w:nsid w:val="73E434B8"/>
    <w:multiLevelType w:val="multilevel"/>
    <w:tmpl w:val="A0D0DE0E"/>
    <w:lvl w:ilvl="0">
      <w:start w:val="1"/>
      <w:numFmt w:val="decimal"/>
      <w:lvlText w:val="%1"/>
      <w:lvlJc w:val="left"/>
      <w:pPr>
        <w:ind w:left="360" w:hanging="360"/>
      </w:pPr>
      <w:rPr>
        <w:rFonts w:eastAsiaTheme="minorEastAsia" w:hint="default"/>
      </w:rPr>
    </w:lvl>
    <w:lvl w:ilvl="1">
      <w:start w:val="3"/>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2C"/>
    <w:rsid w:val="00384B4E"/>
    <w:rsid w:val="0082205E"/>
    <w:rsid w:val="009C1D96"/>
    <w:rsid w:val="00BD532C"/>
    <w:rsid w:val="00CE00B3"/>
    <w:rsid w:val="00D9497F"/>
    <w:rsid w:val="00EF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2B47E1-8EF6-4EBC-99C5-B5A35491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32C"/>
    <w:pPr>
      <w:spacing w:after="5" w:line="249" w:lineRule="auto"/>
      <w:ind w:left="542" w:hanging="542"/>
    </w:pPr>
    <w:rPr>
      <w:rFonts w:eastAsia="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32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05E"/>
    <w:rPr>
      <w:rFonts w:eastAsia="Calibri"/>
      <w:color w:val="000000"/>
      <w:lang w:eastAsia="en-GB"/>
    </w:rPr>
  </w:style>
  <w:style w:type="paragraph" w:styleId="Footer">
    <w:name w:val="footer"/>
    <w:basedOn w:val="Normal"/>
    <w:link w:val="FooterChar"/>
    <w:uiPriority w:val="99"/>
    <w:unhideWhenUsed/>
    <w:rsid w:val="00822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05E"/>
    <w:rPr>
      <w:rFonts w:eastAsia="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3231-E106-418B-A232-14A692A9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Ryan</dc:creator>
  <cp:keywords/>
  <dc:description/>
  <cp:lastModifiedBy>Hyde, Ryan</cp:lastModifiedBy>
  <cp:revision>2</cp:revision>
  <dcterms:created xsi:type="dcterms:W3CDTF">2018-11-13T09:25:00Z</dcterms:created>
  <dcterms:modified xsi:type="dcterms:W3CDTF">2018-11-13T09:31:00Z</dcterms:modified>
</cp:coreProperties>
</file>